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D0C" w:rsidRDefault="00690D0C">
      <w:pPr>
        <w:pStyle w:val="af"/>
        <w:framePr w:w="0" w:hRule="auto" w:wrap="auto" w:hAnchor="text" w:xAlign="left" w:yAlign="inline"/>
        <w:spacing w:line="360" w:lineRule="auto"/>
        <w:rPr>
          <w:b/>
          <w:color w:val="000000"/>
          <w:sz w:val="36"/>
          <w:szCs w:val="36"/>
        </w:rPr>
      </w:pPr>
    </w:p>
    <w:p w:rsidR="00690D0C" w:rsidRDefault="00684950">
      <w:pPr>
        <w:pStyle w:val="af"/>
        <w:framePr w:w="0" w:hRule="auto" w:wrap="auto" w:hAnchor="text" w:xAlign="left" w:yAlign="inline"/>
        <w:spacing w:line="360" w:lineRule="auto"/>
        <w:rPr>
          <w:b/>
          <w:color w:val="000000"/>
          <w:szCs w:val="52"/>
        </w:rPr>
      </w:pPr>
      <w:r>
        <w:rPr>
          <w:rFonts w:hint="eastAsia"/>
          <w:b/>
          <w:color w:val="000000"/>
          <w:szCs w:val="52"/>
        </w:rPr>
        <w:t>《钢质管道抗紫外线三层熔结粉末防腐外涂层技术规范》</w:t>
      </w:r>
    </w:p>
    <w:p w:rsidR="00690D0C" w:rsidRDefault="00690D0C">
      <w:pPr>
        <w:pStyle w:val="aa"/>
        <w:spacing w:after="0" w:line="360" w:lineRule="auto"/>
        <w:jc w:val="center"/>
        <w:rPr>
          <w:rFonts w:ascii="黑体" w:eastAsia="黑体"/>
          <w:b/>
          <w:color w:val="000000"/>
          <w:sz w:val="52"/>
          <w:szCs w:val="52"/>
        </w:rPr>
      </w:pPr>
    </w:p>
    <w:p w:rsidR="00690D0C" w:rsidRDefault="00684950">
      <w:pPr>
        <w:spacing w:line="360" w:lineRule="auto"/>
        <w:jc w:val="center"/>
        <w:rPr>
          <w:rFonts w:ascii="黑体" w:eastAsia="黑体"/>
          <w:b/>
          <w:color w:val="000000"/>
          <w:sz w:val="52"/>
          <w:szCs w:val="52"/>
        </w:rPr>
      </w:pPr>
      <w:r>
        <w:rPr>
          <w:rFonts w:ascii="黑体" w:eastAsia="黑体" w:hint="eastAsia"/>
          <w:b/>
          <w:color w:val="000000"/>
          <w:sz w:val="52"/>
          <w:szCs w:val="52"/>
        </w:rPr>
        <w:t>国家标准编制说明</w:t>
      </w:r>
    </w:p>
    <w:p w:rsidR="00690D0C" w:rsidRDefault="00690D0C">
      <w:pPr>
        <w:spacing w:line="360" w:lineRule="auto"/>
        <w:jc w:val="center"/>
        <w:rPr>
          <w:rFonts w:ascii="黑体" w:eastAsia="黑体" w:hAnsi="华文中宋"/>
          <w:b/>
          <w:color w:val="000000"/>
          <w:sz w:val="44"/>
          <w:szCs w:val="44"/>
        </w:rPr>
      </w:pPr>
    </w:p>
    <w:p w:rsidR="00690D0C" w:rsidRDefault="00690D0C">
      <w:pPr>
        <w:pStyle w:val="aa"/>
        <w:spacing w:after="0" w:line="360" w:lineRule="auto"/>
        <w:jc w:val="center"/>
        <w:rPr>
          <w:rFonts w:ascii="黑体" w:eastAsia="黑体"/>
          <w:b/>
          <w:color w:val="000000"/>
          <w:sz w:val="44"/>
          <w:szCs w:val="44"/>
        </w:rPr>
      </w:pPr>
    </w:p>
    <w:p w:rsidR="00690D0C" w:rsidRDefault="00690D0C">
      <w:pPr>
        <w:spacing w:line="360" w:lineRule="auto"/>
        <w:rPr>
          <w:rFonts w:ascii="黑体" w:eastAsia="黑体" w:hAnsi="黑体"/>
          <w:color w:val="000000"/>
          <w:sz w:val="24"/>
          <w:szCs w:val="24"/>
        </w:rPr>
      </w:pPr>
    </w:p>
    <w:p w:rsidR="00690D0C" w:rsidRDefault="00690D0C">
      <w:pPr>
        <w:pStyle w:val="aa"/>
        <w:spacing w:after="0" w:line="360" w:lineRule="auto"/>
        <w:rPr>
          <w:color w:val="000000"/>
          <w:sz w:val="24"/>
          <w:szCs w:val="24"/>
        </w:rPr>
      </w:pPr>
    </w:p>
    <w:p w:rsidR="00690D0C" w:rsidRDefault="00690D0C">
      <w:pPr>
        <w:pStyle w:val="aa"/>
        <w:spacing w:after="0"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90D0C">
      <w:pPr>
        <w:pStyle w:val="ab"/>
        <w:spacing w:line="360" w:lineRule="auto"/>
        <w:rPr>
          <w:color w:val="000000"/>
          <w:sz w:val="24"/>
          <w:szCs w:val="24"/>
        </w:rPr>
      </w:pPr>
    </w:p>
    <w:p w:rsidR="00690D0C" w:rsidRDefault="00684950">
      <w:pPr>
        <w:spacing w:line="360" w:lineRule="auto"/>
        <w:jc w:val="center"/>
        <w:rPr>
          <w:rFonts w:ascii="宋体" w:hAnsi="宋体"/>
          <w:b/>
          <w:color w:val="000000"/>
          <w:sz w:val="32"/>
          <w:szCs w:val="32"/>
        </w:rPr>
      </w:pPr>
      <w:r>
        <w:rPr>
          <w:rFonts w:ascii="宋体" w:hAnsi="宋体" w:hint="eastAsia"/>
          <w:b/>
          <w:color w:val="000000"/>
          <w:sz w:val="32"/>
          <w:szCs w:val="32"/>
        </w:rPr>
        <w:t>标准编写组</w:t>
      </w:r>
    </w:p>
    <w:p w:rsidR="00690D0C" w:rsidRDefault="00684950">
      <w:pPr>
        <w:spacing w:line="360" w:lineRule="auto"/>
        <w:jc w:val="center"/>
        <w:rPr>
          <w:rFonts w:ascii="宋体" w:hAnsi="宋体"/>
          <w:b/>
          <w:color w:val="000000"/>
          <w:sz w:val="32"/>
          <w:szCs w:val="32"/>
        </w:rPr>
      </w:pPr>
      <w:r>
        <w:rPr>
          <w:rFonts w:ascii="宋体" w:hAnsi="宋体"/>
          <w:b/>
          <w:color w:val="000000"/>
          <w:sz w:val="32"/>
          <w:szCs w:val="32"/>
        </w:rPr>
        <w:t xml:space="preserve"> </w:t>
      </w:r>
      <w:r>
        <w:rPr>
          <w:rFonts w:ascii="宋体" w:hAnsi="宋体" w:hint="eastAsia"/>
          <w:b/>
          <w:color w:val="000000"/>
          <w:sz w:val="32"/>
          <w:szCs w:val="32"/>
        </w:rPr>
        <w:t>2017年8月</w:t>
      </w:r>
    </w:p>
    <w:p w:rsidR="00690D0C" w:rsidRDefault="00684950">
      <w:pPr>
        <w:rPr>
          <w:rFonts w:ascii="宋体" w:hAnsi="宋体"/>
          <w:b/>
          <w:sz w:val="28"/>
          <w:szCs w:val="28"/>
        </w:rPr>
      </w:pPr>
      <w:r>
        <w:rPr>
          <w:rFonts w:ascii="宋体" w:hAnsi="宋体" w:hint="eastAsia"/>
          <w:b/>
          <w:sz w:val="28"/>
          <w:szCs w:val="28"/>
        </w:rPr>
        <w:lastRenderedPageBreak/>
        <w:t>（一）任务来源</w:t>
      </w:r>
    </w:p>
    <w:p w:rsidR="00690D0C" w:rsidRDefault="00684950" w:rsidP="00690D0C">
      <w:pPr>
        <w:spacing w:line="360" w:lineRule="auto"/>
        <w:ind w:firstLineChars="177" w:firstLine="425"/>
        <w:rPr>
          <w:color w:val="000000"/>
          <w:sz w:val="24"/>
          <w:szCs w:val="24"/>
        </w:rPr>
      </w:pPr>
      <w:r>
        <w:rPr>
          <w:rFonts w:ascii="宋体" w:hAnsi="宋体" w:hint="eastAsia"/>
          <w:sz w:val="24"/>
        </w:rPr>
        <w:t>2016年，</w:t>
      </w:r>
      <w:r>
        <w:rPr>
          <w:rFonts w:hint="eastAsia"/>
          <w:color w:val="000000"/>
          <w:sz w:val="24"/>
          <w:szCs w:val="24"/>
        </w:rPr>
        <w:t>经中国工业防腐蚀技术协会申请，</w:t>
      </w:r>
      <w:r>
        <w:rPr>
          <w:rFonts w:hint="eastAsia"/>
          <w:color w:val="000000"/>
          <w:sz w:val="24"/>
          <w:szCs w:val="24"/>
        </w:rPr>
        <w:t>2017</w:t>
      </w:r>
      <w:r>
        <w:rPr>
          <w:rFonts w:hint="eastAsia"/>
          <w:color w:val="000000"/>
          <w:sz w:val="24"/>
          <w:szCs w:val="24"/>
        </w:rPr>
        <w:t>年</w:t>
      </w:r>
      <w:r>
        <w:rPr>
          <w:rFonts w:hint="eastAsia"/>
          <w:color w:val="000000"/>
          <w:sz w:val="24"/>
          <w:szCs w:val="24"/>
        </w:rPr>
        <w:t>07</w:t>
      </w:r>
      <w:r>
        <w:rPr>
          <w:rFonts w:hint="eastAsia"/>
          <w:color w:val="000000"/>
          <w:sz w:val="24"/>
          <w:szCs w:val="24"/>
        </w:rPr>
        <w:t>月，</w:t>
      </w:r>
      <w:r>
        <w:rPr>
          <w:rFonts w:ascii="宋体" w:hAnsi="宋体" w:hint="eastAsia"/>
          <w:sz w:val="24"/>
        </w:rPr>
        <w:t>国家标准化管理委员会2017年第二批国家标准制（修）订计划项目中下达了《钢质管道抗紫外线三层熔结粉末外涂层技术规范》的编制任务，计划项目编号：20171200-T-606，</w:t>
      </w:r>
      <w:r>
        <w:rPr>
          <w:rFonts w:hint="eastAsia"/>
          <w:color w:val="000000"/>
          <w:sz w:val="24"/>
          <w:szCs w:val="24"/>
        </w:rPr>
        <w:t>并由全国防腐蚀标准化技术委员会归口，中国工业防腐蚀技术协会组织，四川科迪燃气管道防腐有限公司、中国工业防腐蚀技术协会、廊坊艾格玛新立材料科技有限公司、成都华润燃气</w:t>
      </w:r>
      <w:r w:rsidR="000B1F20">
        <w:rPr>
          <w:rFonts w:hint="eastAsia"/>
          <w:color w:val="000000"/>
          <w:sz w:val="24"/>
          <w:szCs w:val="24"/>
        </w:rPr>
        <w:t>设计有限公司、四川华油集团有限责任公司</w:t>
      </w:r>
      <w:r>
        <w:rPr>
          <w:rFonts w:hint="eastAsia"/>
          <w:color w:val="000000"/>
          <w:sz w:val="24"/>
          <w:szCs w:val="24"/>
        </w:rPr>
        <w:t>等单位负责标准起草。标准编制时间为</w:t>
      </w:r>
      <w:r>
        <w:rPr>
          <w:rFonts w:hint="eastAsia"/>
          <w:color w:val="000000"/>
          <w:sz w:val="24"/>
          <w:szCs w:val="24"/>
        </w:rPr>
        <w:t>2017</w:t>
      </w:r>
      <w:r>
        <w:rPr>
          <w:rFonts w:hint="eastAsia"/>
          <w:color w:val="000000"/>
          <w:sz w:val="24"/>
          <w:szCs w:val="24"/>
        </w:rPr>
        <w:t>～</w:t>
      </w:r>
      <w:r>
        <w:rPr>
          <w:rFonts w:hint="eastAsia"/>
          <w:color w:val="000000"/>
          <w:sz w:val="24"/>
          <w:szCs w:val="24"/>
        </w:rPr>
        <w:t>2019</w:t>
      </w:r>
      <w:r>
        <w:rPr>
          <w:rFonts w:hint="eastAsia"/>
          <w:color w:val="000000"/>
          <w:sz w:val="24"/>
          <w:szCs w:val="24"/>
        </w:rPr>
        <w:t>年。</w:t>
      </w:r>
    </w:p>
    <w:p w:rsidR="00690D0C" w:rsidRDefault="00684950" w:rsidP="00690D0C">
      <w:pPr>
        <w:spacing w:line="360" w:lineRule="auto"/>
        <w:ind w:firstLineChars="177" w:firstLine="425"/>
        <w:rPr>
          <w:color w:val="000000"/>
          <w:sz w:val="24"/>
          <w:szCs w:val="24"/>
        </w:rPr>
      </w:pPr>
      <w:r>
        <w:rPr>
          <w:rFonts w:hint="eastAsia"/>
          <w:color w:val="000000"/>
          <w:sz w:val="24"/>
          <w:szCs w:val="24"/>
        </w:rPr>
        <w:t>2017</w:t>
      </w:r>
      <w:r>
        <w:rPr>
          <w:rFonts w:hint="eastAsia"/>
          <w:color w:val="000000"/>
          <w:sz w:val="24"/>
          <w:szCs w:val="24"/>
        </w:rPr>
        <w:t>年</w:t>
      </w:r>
      <w:r>
        <w:rPr>
          <w:rFonts w:hint="eastAsia"/>
          <w:color w:val="000000"/>
          <w:sz w:val="24"/>
          <w:szCs w:val="24"/>
        </w:rPr>
        <w:t>08</w:t>
      </w:r>
      <w:r>
        <w:rPr>
          <w:rFonts w:hint="eastAsia"/>
          <w:color w:val="000000"/>
          <w:sz w:val="24"/>
          <w:szCs w:val="24"/>
        </w:rPr>
        <w:t>月成立标准制定小组，由四川科迪燃气管道防腐有限公司，按照</w:t>
      </w:r>
      <w:r>
        <w:rPr>
          <w:rFonts w:hint="eastAsia"/>
          <w:color w:val="000000"/>
          <w:sz w:val="24"/>
          <w:szCs w:val="24"/>
        </w:rPr>
        <w:t>GB/T1.1-2009</w:t>
      </w:r>
      <w:r>
        <w:rPr>
          <w:rFonts w:hint="eastAsia"/>
          <w:color w:val="000000"/>
          <w:sz w:val="24"/>
          <w:szCs w:val="24"/>
        </w:rPr>
        <w:t>《标准化工作导则</w:t>
      </w:r>
      <w:r>
        <w:rPr>
          <w:rFonts w:hint="eastAsia"/>
          <w:color w:val="000000"/>
          <w:sz w:val="24"/>
          <w:szCs w:val="24"/>
        </w:rPr>
        <w:t xml:space="preserve"> </w:t>
      </w:r>
      <w:r>
        <w:rPr>
          <w:rFonts w:hint="eastAsia"/>
          <w:color w:val="000000"/>
          <w:sz w:val="24"/>
          <w:szCs w:val="24"/>
        </w:rPr>
        <w:t>第</w:t>
      </w:r>
      <w:r>
        <w:rPr>
          <w:rFonts w:hint="eastAsia"/>
          <w:color w:val="000000"/>
          <w:sz w:val="24"/>
          <w:szCs w:val="24"/>
        </w:rPr>
        <w:t>1</w:t>
      </w:r>
      <w:r>
        <w:rPr>
          <w:rFonts w:hint="eastAsia"/>
          <w:color w:val="000000"/>
          <w:sz w:val="24"/>
          <w:szCs w:val="24"/>
        </w:rPr>
        <w:t>部分：标准的结构和编写》的要求，负责标准的起草。</w:t>
      </w:r>
    </w:p>
    <w:p w:rsidR="00690D0C" w:rsidRDefault="00684950" w:rsidP="00690D0C">
      <w:pPr>
        <w:spacing w:line="360" w:lineRule="auto"/>
        <w:ind w:firstLineChars="177" w:firstLine="425"/>
        <w:rPr>
          <w:color w:val="000000"/>
          <w:sz w:val="24"/>
          <w:szCs w:val="24"/>
        </w:rPr>
      </w:pPr>
      <w:r>
        <w:rPr>
          <w:rFonts w:hint="eastAsia"/>
          <w:color w:val="000000"/>
          <w:sz w:val="24"/>
          <w:szCs w:val="24"/>
        </w:rPr>
        <w:t>四川科迪燃气管道防腐有限公司接到任务后，成立项目组，其成员包括陈抒怀、</w:t>
      </w:r>
      <w:r w:rsidR="000B1F20">
        <w:rPr>
          <w:rFonts w:hint="eastAsia"/>
          <w:color w:val="000000"/>
          <w:sz w:val="24"/>
          <w:szCs w:val="24"/>
        </w:rPr>
        <w:t>何文、</w:t>
      </w:r>
      <w:r>
        <w:rPr>
          <w:rFonts w:hint="eastAsia"/>
          <w:color w:val="000000"/>
          <w:sz w:val="24"/>
          <w:szCs w:val="24"/>
        </w:rPr>
        <w:t>崔志刚、何静、唐平</w:t>
      </w:r>
      <w:bookmarkStart w:id="0" w:name="_GoBack"/>
      <w:bookmarkEnd w:id="0"/>
      <w:r>
        <w:rPr>
          <w:rFonts w:hint="eastAsia"/>
          <w:color w:val="000000"/>
          <w:sz w:val="24"/>
          <w:szCs w:val="24"/>
        </w:rPr>
        <w:t>等。经过广泛调查研究国内外相关的标准和文件资料，在此基础上，编写小组认真归纳、整理、分析所收集的资料，并多次进行讨论，于</w:t>
      </w:r>
      <w:r>
        <w:rPr>
          <w:rFonts w:hint="eastAsia"/>
          <w:color w:val="000000"/>
          <w:sz w:val="24"/>
          <w:szCs w:val="24"/>
        </w:rPr>
        <w:t>2017</w:t>
      </w:r>
      <w:r>
        <w:rPr>
          <w:rFonts w:hint="eastAsia"/>
          <w:color w:val="000000"/>
          <w:sz w:val="24"/>
          <w:szCs w:val="24"/>
        </w:rPr>
        <w:t>年</w:t>
      </w:r>
      <w:r w:rsidR="000B1F20">
        <w:rPr>
          <w:rFonts w:hint="eastAsia"/>
          <w:color w:val="000000"/>
          <w:sz w:val="24"/>
          <w:szCs w:val="24"/>
        </w:rPr>
        <w:t>8</w:t>
      </w:r>
      <w:r>
        <w:rPr>
          <w:rFonts w:hint="eastAsia"/>
          <w:color w:val="000000"/>
          <w:sz w:val="24"/>
          <w:szCs w:val="24"/>
        </w:rPr>
        <w:t>月提出了本标准的征求意见稿。</w:t>
      </w:r>
    </w:p>
    <w:p w:rsidR="00690D0C" w:rsidRDefault="00684950">
      <w:pPr>
        <w:rPr>
          <w:rFonts w:ascii="宋体" w:hAnsi="宋体"/>
          <w:b/>
          <w:sz w:val="28"/>
          <w:szCs w:val="28"/>
        </w:rPr>
      </w:pPr>
      <w:r>
        <w:rPr>
          <w:rFonts w:ascii="宋体" w:hAnsi="宋体" w:hint="eastAsia"/>
          <w:b/>
          <w:sz w:val="28"/>
          <w:szCs w:val="28"/>
        </w:rPr>
        <w:t>（二）标准编写原则</w:t>
      </w:r>
    </w:p>
    <w:p w:rsidR="00690D0C" w:rsidRDefault="00684950">
      <w:pPr>
        <w:numPr>
          <w:ilvl w:val="0"/>
          <w:numId w:val="6"/>
        </w:numPr>
        <w:rPr>
          <w:rFonts w:ascii="宋体" w:hAnsi="宋体"/>
          <w:sz w:val="24"/>
        </w:rPr>
      </w:pPr>
      <w:r>
        <w:rPr>
          <w:rFonts w:ascii="宋体" w:hAnsi="宋体" w:hint="eastAsia"/>
          <w:sz w:val="24"/>
        </w:rPr>
        <w:t>严格按照GB/T  1.1-2009给出的规则起草；</w:t>
      </w:r>
    </w:p>
    <w:p w:rsidR="00690D0C" w:rsidRDefault="00684950">
      <w:pPr>
        <w:numPr>
          <w:ilvl w:val="0"/>
          <w:numId w:val="6"/>
        </w:numPr>
        <w:rPr>
          <w:rFonts w:ascii="宋体" w:hAnsi="宋体"/>
          <w:sz w:val="24"/>
        </w:rPr>
      </w:pPr>
      <w:r>
        <w:rPr>
          <w:rFonts w:ascii="宋体" w:hAnsi="宋体" w:hint="eastAsia"/>
          <w:sz w:val="24"/>
        </w:rPr>
        <w:t>标准应符合国家有关法律法规、强制性标准及相关产业政治要求；</w:t>
      </w:r>
    </w:p>
    <w:p w:rsidR="00690D0C" w:rsidRDefault="00684950">
      <w:pPr>
        <w:numPr>
          <w:ilvl w:val="0"/>
          <w:numId w:val="6"/>
        </w:numPr>
        <w:rPr>
          <w:rFonts w:ascii="宋体" w:hAnsi="宋体"/>
          <w:sz w:val="24"/>
        </w:rPr>
      </w:pPr>
      <w:r>
        <w:rPr>
          <w:rFonts w:ascii="宋体" w:hAnsi="宋体" w:hint="eastAsia"/>
          <w:sz w:val="24"/>
        </w:rPr>
        <w:t>标准要具有科学性、先进性、经济性、切实可行性；</w:t>
      </w:r>
    </w:p>
    <w:p w:rsidR="00690D0C" w:rsidRDefault="00684950">
      <w:pPr>
        <w:spacing w:line="360" w:lineRule="auto"/>
        <w:ind w:firstLineChars="200" w:firstLine="480"/>
        <w:rPr>
          <w:rFonts w:ascii="宋体" w:hAnsi="宋体"/>
          <w:sz w:val="24"/>
        </w:rPr>
      </w:pPr>
      <w:r>
        <w:rPr>
          <w:rFonts w:ascii="宋体" w:hAnsi="宋体" w:hint="eastAsia"/>
          <w:sz w:val="24"/>
        </w:rPr>
        <w:t>本标准的编写，是经过多年的应用以及大量国内的燃气管道防腐工程实践为基础，参阅国内外有关标准、资料进行编写的。技术内容总的指导思想是使我国在对户外燃气管道防腐蚀技术规范系统的定义、技术要求、设计、材料、涂覆作业、验收和管理等基础要求方面的工作规范化，确保户外燃气管道系统长期安全运转。</w:t>
      </w:r>
    </w:p>
    <w:p w:rsidR="00690D0C" w:rsidRDefault="00684950">
      <w:pPr>
        <w:spacing w:line="360" w:lineRule="auto"/>
        <w:ind w:firstLineChars="200" w:firstLine="480"/>
        <w:rPr>
          <w:rFonts w:ascii="宋体" w:hAnsi="宋体"/>
          <w:sz w:val="24"/>
        </w:rPr>
      </w:pPr>
      <w:r>
        <w:rPr>
          <w:rFonts w:ascii="宋体" w:hAnsi="宋体" w:hint="eastAsia"/>
          <w:sz w:val="24"/>
        </w:rPr>
        <w:t>考虑到安全、经济、企业和社会效益最大化的目标，一方面设备选择要经济可靠，另一方面通过设计、工艺、管理等方面的优化做到资源节约、保护环境，最大限度的提高防腐效果及管道系统安全性。而本标准就是建立在提高防腐效果、减少二次维护的基础上编制的，它对于减少投资与运行管理维护费用等方面起到了积极的作用，同时更好地达到建设节约型社会、促进人与自然和谐发展的目的。</w:t>
      </w:r>
    </w:p>
    <w:p w:rsidR="00690D0C" w:rsidRDefault="00690D0C">
      <w:pPr>
        <w:spacing w:line="360" w:lineRule="auto"/>
        <w:ind w:firstLineChars="200" w:firstLine="480"/>
        <w:rPr>
          <w:rFonts w:ascii="宋体" w:hAnsi="宋体"/>
          <w:sz w:val="24"/>
        </w:rPr>
      </w:pPr>
    </w:p>
    <w:p w:rsidR="00690D0C" w:rsidRDefault="00684950">
      <w:pPr>
        <w:spacing w:line="360" w:lineRule="auto"/>
        <w:rPr>
          <w:rFonts w:ascii="宋体" w:hAnsi="宋体"/>
          <w:sz w:val="24"/>
        </w:rPr>
      </w:pPr>
      <w:r>
        <w:rPr>
          <w:rFonts w:hint="eastAsia"/>
          <w:b/>
          <w:sz w:val="28"/>
          <w:szCs w:val="28"/>
        </w:rPr>
        <w:lastRenderedPageBreak/>
        <w:t>（三）制修订标准的目的及要解决的主要问题</w:t>
      </w:r>
    </w:p>
    <w:p w:rsidR="00690D0C" w:rsidRDefault="00684950">
      <w:pPr>
        <w:spacing w:line="360" w:lineRule="auto"/>
        <w:ind w:firstLineChars="200" w:firstLine="480"/>
        <w:rPr>
          <w:rFonts w:ascii="宋体" w:hAnsi="宋体"/>
          <w:sz w:val="24"/>
        </w:rPr>
      </w:pPr>
      <w:r>
        <w:rPr>
          <w:rFonts w:ascii="宋体" w:hAnsi="宋体" w:hint="eastAsia"/>
          <w:sz w:val="24"/>
        </w:rPr>
        <w:t>由于管道腐蚀问题遍及国民经济和国防建设的各个部门，大量的管道、构件和阀门等因腐浊而损坏报废，既给国民经济带来巨大损失，也给生产和生活造成极大的困难。根据统计，全世界每年由于腐蚀而报废的金属管道、设备和材料，相当于金属年产的1/3。现在全世界金属产量约8×108t，因腐蚀而损失达8×107t。我国钢铁年产量16×107t，每年因腐蚀而损耗6×106t．差不多等于上海宝钢钢铁总厂的年产量。腐蚀产物形成垢层，影响传热和介质流速。美国每年因腐蚀要多耗3.4%的能源。1975年美国由于腐蚀造成的经济损失约为700亿美元，为当年国民经济生产总值的4.2%，而1986年高达1260亿美元，1995年升高到3000亿美元。我国每年因腐蚀造成的经济损失高达2800亿元，比每年风灾、水灾、地震、火灾等自然灾害的总和还要多，仅'九五'期间，管道腐蚀造成的损失若能降低一个百分点，每年就可减少经济损失数百亿元。石油化工系统使用的工业管道，平均4～5年就因腐蚀而更换，造成每年有大量的钢管因腐蚀而报废。腐蚀对自然资源是极大的浪费。腐蚀不仅是金属资源的浪费，还对金属结构造成腐蚀破坏，使金属管道、设备提前退役，而不得不更换新的金属管道、设备。而金属管道、设备的造价费用远远超过金属材料本身的价格，这就增加了管道、设备的使用费用，提高了生产成本，降低了经济效益。</w:t>
      </w:r>
    </w:p>
    <w:p w:rsidR="00690D0C" w:rsidRDefault="00684950">
      <w:pPr>
        <w:spacing w:line="360" w:lineRule="auto"/>
        <w:ind w:firstLineChars="200" w:firstLine="480"/>
        <w:rPr>
          <w:rFonts w:ascii="宋体" w:hAnsi="宋体"/>
          <w:sz w:val="24"/>
        </w:rPr>
      </w:pPr>
      <w:r>
        <w:rPr>
          <w:rFonts w:ascii="宋体" w:hAnsi="宋体" w:hint="eastAsia"/>
          <w:sz w:val="24"/>
        </w:rPr>
        <w:t>近几年，随着城市建设事业的发展和城市设施的不断加强，地面金属燃气管道大量增加。地面金属燃气管道的寿命多则20余年，少则只有2～3年，腐蚀穿孔事故时有发生，造成了巨大的经济损失和严重的社会影响。因此为了防止腐蚀，提高燃气管道的使用寿命，解决高层户外燃气管道的二次维护带来的不便及高空作业的风险，杜绝钢管腐蚀出现的安全隐患，对确保城市燃气管网安全、稳定、正常供气具有重要的现实作用，同时弥补国内户外燃气管道防腐领域科技防腐的空白，规范露空管道防腐技术方法，减少因腐蚀造成的经济损失和社会危害，对国民经济发展有着重要的意义。</w:t>
      </w:r>
    </w:p>
    <w:p w:rsidR="00690D0C" w:rsidRDefault="00684950">
      <w:pPr>
        <w:spacing w:line="360" w:lineRule="auto"/>
        <w:ind w:firstLineChars="200" w:firstLine="480"/>
        <w:jc w:val="left"/>
        <w:rPr>
          <w:rFonts w:ascii="宋体" w:hAnsi="宋体"/>
          <w:sz w:val="24"/>
        </w:rPr>
      </w:pPr>
      <w:r>
        <w:rPr>
          <w:rFonts w:ascii="宋体" w:hAnsi="宋体" w:hint="eastAsia"/>
          <w:sz w:val="24"/>
        </w:rPr>
        <w:t>1、标准的编制目的是综合国内现阶段户外燃气管道防腐行业发展实际情况，结合城市燃气输送领域对于安全性、可靠性、耐久性的特殊要求，编制符合国情行情、条例明确、制衡有效、缜密完备的户外燃气管道防腐作业规范；</w:t>
      </w:r>
    </w:p>
    <w:p w:rsidR="00690D0C" w:rsidRDefault="00684950">
      <w:pPr>
        <w:spacing w:line="360" w:lineRule="auto"/>
        <w:ind w:firstLineChars="225" w:firstLine="540"/>
        <w:jc w:val="left"/>
        <w:rPr>
          <w:rFonts w:ascii="宋体" w:hAnsi="宋体"/>
          <w:sz w:val="24"/>
        </w:rPr>
      </w:pPr>
      <w:r>
        <w:rPr>
          <w:rFonts w:ascii="宋体" w:hAnsi="宋体" w:hint="eastAsia"/>
          <w:sz w:val="24"/>
        </w:rPr>
        <w:t>2、由于缺乏相关标准的统一指导给户外燃气管道的防腐工作专业化运行管</w:t>
      </w:r>
      <w:r>
        <w:rPr>
          <w:rFonts w:ascii="宋体" w:hAnsi="宋体" w:hint="eastAsia"/>
          <w:sz w:val="24"/>
        </w:rPr>
        <w:lastRenderedPageBreak/>
        <w:t>理维护带来了困难。粉末涂料及抗紫外线保护作为有效防腐手段是目前在户外燃气管道防腐工程最普遍应用的。如何实现各类防腐措施的统一评判，加强不同厂家产品的统一管理是本标准编写要解决的问题。</w:t>
      </w:r>
    </w:p>
    <w:p w:rsidR="00690D0C" w:rsidRDefault="00684950">
      <w:pPr>
        <w:spacing w:line="360" w:lineRule="auto"/>
        <w:ind w:firstLineChars="200" w:firstLine="480"/>
        <w:jc w:val="left"/>
        <w:rPr>
          <w:rFonts w:ascii="宋体" w:hAnsi="宋体"/>
          <w:sz w:val="24"/>
        </w:rPr>
      </w:pPr>
      <w:r>
        <w:rPr>
          <w:rFonts w:ascii="宋体" w:hAnsi="宋体" w:hint="eastAsia"/>
          <w:sz w:val="24"/>
        </w:rPr>
        <w:t>3、本标准的编写是在基于对大量工程实践和传统防腐方式案例的总结和国内外标准数据资料的广泛参阅下完成的，因而具有切实的指导意义和很强的可操作性，从而也为各户外燃气管道防腐工程技术人员和运行管理人员提供了一份能解决实际问题的标准。</w:t>
      </w:r>
    </w:p>
    <w:p w:rsidR="00690D0C" w:rsidRDefault="00684950">
      <w:pPr>
        <w:spacing w:line="360" w:lineRule="auto"/>
        <w:ind w:firstLineChars="200" w:firstLine="480"/>
        <w:jc w:val="left"/>
        <w:rPr>
          <w:rFonts w:ascii="宋体" w:hAnsi="宋体"/>
          <w:sz w:val="24"/>
        </w:rPr>
      </w:pPr>
      <w:r>
        <w:rPr>
          <w:rFonts w:ascii="宋体" w:hAnsi="宋体" w:hint="eastAsia"/>
          <w:sz w:val="24"/>
        </w:rPr>
        <w:t>4、通过标准的编写，细化防腐作业要求，明确质量管理要点，满足行业使用需求，填补国内户外燃气管道防腐作业标准的空白,提升防腐作业管理水平，指导行业规范竞争，促进行业健康有序发展。</w:t>
      </w:r>
    </w:p>
    <w:p w:rsidR="00690D0C" w:rsidRDefault="00684950">
      <w:pPr>
        <w:autoSpaceDE w:val="0"/>
        <w:autoSpaceDN w:val="0"/>
        <w:spacing w:line="360" w:lineRule="auto"/>
        <w:ind w:firstLineChars="171" w:firstLine="410"/>
        <w:jc w:val="left"/>
        <w:rPr>
          <w:rFonts w:ascii="宋体" w:hAnsi="宋体" w:cs="宋体"/>
          <w:bCs/>
          <w:sz w:val="24"/>
        </w:rPr>
      </w:pPr>
      <w:r>
        <w:rPr>
          <w:rFonts w:ascii="宋体" w:hAnsi="宋体" w:cs="宋体" w:hint="eastAsia"/>
          <w:bCs/>
          <w:sz w:val="24"/>
        </w:rPr>
        <w:t>5.钢质管道抗紫外线三层熔结粉末防腐技术是充分利用环氧粉末防腐性能优异的特点满足管道防腐方面的要求，由于使用在大气环境下，环氧材料无法抵抗大气和紫外线的破坏，因此需要在最外层涂覆聚酯粉末保护环氧涂层。由于环氧涂层与聚酯涂层不能很好的粘接在一起，长时间会发生分离脱层，因此在两层之间需要增加接枝共聚物作为连接层，接枝共聚物通过化学键的形式将环氧涂层与聚酯涂层结合起来，形成有机整体。从而解决了环氧涂层与聚酯涂层脱层的问题。提高涂层的完整性、耐久性，保证燃气管道系统平稳、安全供气。</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（四）标准编制的主要内容说明</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1 范围</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本标准规定了钢质管道抗紫外线三层熔结粉末防腐外涂层的结构、等级、涂敷作业、检验与规则、产品标识、涂层补伤、安全卫生和环境、贮存和运输、文件管理等技术要求。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本标准适用于温度-30℃～100℃，</w:t>
      </w:r>
      <w:r w:rsidRPr="00684950">
        <w:rPr>
          <w:rFonts w:ascii="宋体" w:hAnsi="宋体" w:cs="宋体" w:hint="eastAsia"/>
          <w:bCs/>
          <w:sz w:val="24"/>
        </w:rPr>
        <w:t>输送燃气、石油、水及其它化工介质的</w:t>
      </w:r>
      <w:r>
        <w:rPr>
          <w:rFonts w:ascii="宋体" w:hAnsi="宋体" w:cs="宋体" w:hint="eastAsia"/>
          <w:bCs/>
          <w:sz w:val="24"/>
        </w:rPr>
        <w:t>户外抗紫外线防腐外涂层的钢质管道。</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2 规范性引用文件</w:t>
      </w:r>
    </w:p>
    <w:p w:rsidR="00690D0C" w:rsidRDefault="00684950">
      <w:pPr>
        <w:autoSpaceDE w:val="0"/>
        <w:autoSpaceDN w:val="0"/>
        <w:spacing w:line="360" w:lineRule="auto"/>
        <w:ind w:firstLine="480"/>
        <w:jc w:val="left"/>
        <w:rPr>
          <w:rFonts w:ascii="宋体" w:hAnsi="宋体" w:cs="宋体"/>
          <w:bCs/>
          <w:sz w:val="24"/>
        </w:rPr>
      </w:pPr>
      <w:r>
        <w:rPr>
          <w:rFonts w:ascii="宋体" w:hAnsi="宋体" w:cs="宋体" w:hint="eastAsia"/>
          <w:bCs/>
          <w:sz w:val="24"/>
        </w:rPr>
        <w:t>主要引用国内有关标准。</w:t>
      </w:r>
    </w:p>
    <w:p w:rsidR="00690D0C" w:rsidRDefault="00684950">
      <w:pPr>
        <w:autoSpaceDE w:val="0"/>
        <w:autoSpaceDN w:val="0"/>
        <w:spacing w:line="360" w:lineRule="auto"/>
        <w:ind w:firstLineChars="171" w:firstLine="410"/>
        <w:jc w:val="left"/>
        <w:rPr>
          <w:rFonts w:ascii="宋体" w:hAnsi="宋体" w:cs="宋体"/>
          <w:bCs/>
          <w:sz w:val="24"/>
        </w:rPr>
      </w:pPr>
      <w:r>
        <w:rPr>
          <w:rFonts w:ascii="宋体" w:hAnsi="宋体" w:cs="宋体" w:hint="eastAsia"/>
          <w:bCs/>
          <w:sz w:val="24"/>
        </w:rPr>
        <w:t>3 防腐涂层结构、等级</w:t>
      </w:r>
    </w:p>
    <w:p w:rsidR="00690D0C" w:rsidRDefault="00684950">
      <w:pPr>
        <w:autoSpaceDE w:val="0"/>
        <w:autoSpaceDN w:val="0"/>
        <w:spacing w:line="360" w:lineRule="auto"/>
        <w:ind w:firstLineChars="171" w:firstLine="410"/>
        <w:jc w:val="left"/>
        <w:rPr>
          <w:rFonts w:ascii="宋体" w:hAnsi="宋体" w:cs="宋体"/>
          <w:bCs/>
          <w:sz w:val="24"/>
        </w:rPr>
      </w:pPr>
      <w:r>
        <w:rPr>
          <w:rFonts w:ascii="宋体" w:hAnsi="宋体" w:cs="宋体" w:hint="eastAsia"/>
          <w:bCs/>
          <w:sz w:val="24"/>
        </w:rPr>
        <w:t>3.1 结构</w:t>
      </w:r>
    </w:p>
    <w:p w:rsidR="00690D0C" w:rsidRDefault="00684950">
      <w:pPr>
        <w:autoSpaceDE w:val="0"/>
        <w:autoSpaceDN w:val="0"/>
        <w:spacing w:line="360" w:lineRule="auto"/>
        <w:ind w:firstLine="480"/>
        <w:jc w:val="left"/>
        <w:rPr>
          <w:rFonts w:ascii="宋体" w:hAnsi="宋体" w:cs="宋体"/>
          <w:bCs/>
          <w:sz w:val="22"/>
          <w:szCs w:val="21"/>
        </w:rPr>
      </w:pPr>
      <w:r>
        <w:rPr>
          <w:rFonts w:ascii="宋体" w:hAnsi="宋体" w:cs="宋体" w:hint="eastAsia"/>
          <w:bCs/>
          <w:sz w:val="24"/>
        </w:rPr>
        <w:t>防腐涂层为三次成膜结构，底层为熔结型环氧粉末防腐涂层，中间层为接枝</w:t>
      </w:r>
      <w:r>
        <w:rPr>
          <w:rFonts w:ascii="宋体" w:hAnsi="宋体" w:cs="宋体" w:hint="eastAsia"/>
          <w:bCs/>
          <w:sz w:val="24"/>
        </w:rPr>
        <w:lastRenderedPageBreak/>
        <w:t>共聚物连接涂层，外层为熔结型聚酯粉末抗UV涂层。</w:t>
      </w:r>
    </w:p>
    <w:p w:rsidR="00690D0C" w:rsidRDefault="00684950" w:rsidP="00690D0C">
      <w:pPr>
        <w:pStyle w:val="a1"/>
        <w:numPr>
          <w:ilvl w:val="1"/>
          <w:numId w:val="0"/>
        </w:numPr>
        <w:spacing w:before="156" w:after="156"/>
        <w:ind w:firstLineChars="200" w:firstLine="480"/>
        <w:rPr>
          <w:rFonts w:ascii="宋体" w:eastAsia="宋体" w:hAnsi="宋体" w:cs="宋体"/>
          <w:bCs/>
          <w:sz w:val="24"/>
          <w:szCs w:val="22"/>
        </w:rPr>
      </w:pPr>
      <w:r>
        <w:rPr>
          <w:rFonts w:ascii="宋体" w:hAnsi="宋体" w:cs="宋体" w:hint="eastAsia"/>
          <w:bCs/>
          <w:sz w:val="24"/>
        </w:rPr>
        <w:t xml:space="preserve">3.2 </w:t>
      </w:r>
      <w:r>
        <w:rPr>
          <w:rFonts w:ascii="宋体" w:eastAsia="宋体" w:hAnsi="宋体" w:cs="宋体" w:hint="eastAsia"/>
          <w:bCs/>
          <w:sz w:val="24"/>
          <w:szCs w:val="22"/>
        </w:rPr>
        <w:t>等级</w:t>
      </w:r>
    </w:p>
    <w:p w:rsidR="00BD5B24" w:rsidRDefault="00684950">
      <w:pPr>
        <w:autoSpaceDE w:val="0"/>
        <w:autoSpaceDN w:val="0"/>
        <w:spacing w:line="360" w:lineRule="auto"/>
        <w:ind w:firstLineChars="200" w:firstLine="480"/>
        <w:jc w:val="left"/>
        <w:rPr>
          <w:rFonts w:ascii="宋体" w:eastAsia="宋体" w:hAnsi="宋体" w:cs="宋体"/>
          <w:bCs/>
          <w:sz w:val="24"/>
        </w:rPr>
      </w:pPr>
      <w:r>
        <w:rPr>
          <w:rFonts w:ascii="宋体" w:eastAsia="宋体" w:hAnsi="宋体" w:cs="宋体" w:hint="eastAsia"/>
          <w:bCs/>
          <w:sz w:val="24"/>
        </w:rPr>
        <w:t>防腐涂层等级分为普通级（G）和加强级（S）</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 技术要求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4.1 材料</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 xml:space="preserve"> 规定了钢管、粉末涂料</w:t>
      </w:r>
      <w:bookmarkStart w:id="1" w:name="_Toc345489090"/>
      <w:bookmarkStart w:id="2" w:name="_Toc345251617"/>
      <w:bookmarkEnd w:id="1"/>
      <w:bookmarkEnd w:id="2"/>
      <w:r>
        <w:rPr>
          <w:rFonts w:ascii="宋体" w:hAnsi="宋体" w:cs="宋体" w:hint="eastAsia"/>
          <w:bCs/>
          <w:sz w:val="24"/>
        </w:rPr>
        <w:t>、补口液的要求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4.2 涂敷作业</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 xml:space="preserve"> 规定了钢管表面处理、涂覆、管端处理的要求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 检验与规则</w:t>
      </w:r>
    </w:p>
    <w:p w:rsidR="00690D0C" w:rsidRDefault="00684950">
      <w:pPr>
        <w:spacing w:line="420" w:lineRule="exact"/>
        <w:ind w:firstLine="420"/>
        <w:rPr>
          <w:rFonts w:ascii="宋体" w:hAnsi="宋体" w:cs="宋体"/>
          <w:bCs/>
          <w:sz w:val="24"/>
        </w:rPr>
      </w:pPr>
      <w:r>
        <w:rPr>
          <w:rFonts w:ascii="宋体" w:hAnsi="宋体" w:cs="宋体" w:hint="eastAsia"/>
          <w:color w:val="000000"/>
          <w:sz w:val="24"/>
          <w:szCs w:val="24"/>
        </w:rPr>
        <w:t>规定了产品检验分过程检验、出厂检验和型式检验。出厂检验按规定检验项目检验，型式检验要求检验全部项目。规定了抽样规则及合格判定规则。</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5.1 过程检验</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5.2 出厂检验</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5.3 型试检验</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6 涂层的修补和重涂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规定了对于有缺陷的产品修补的要求，规定进行重涂原则以及重涂的处理方法</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7 产品标识</w:t>
      </w:r>
    </w:p>
    <w:p w:rsidR="00690D0C" w:rsidRDefault="00684950">
      <w:pPr>
        <w:tabs>
          <w:tab w:val="center" w:pos="4201"/>
          <w:tab w:val="right" w:leader="dot" w:pos="9298"/>
        </w:tabs>
        <w:spacing w:line="420" w:lineRule="exact"/>
        <w:ind w:firstLine="420"/>
        <w:rPr>
          <w:rFonts w:ascii="宋体" w:hAnsi="宋体" w:cs="宋体"/>
          <w:bCs/>
          <w:sz w:val="24"/>
        </w:rPr>
      </w:pPr>
      <w:r>
        <w:rPr>
          <w:rFonts w:ascii="宋体" w:hAnsi="宋体" w:cs="宋体" w:hint="eastAsia"/>
          <w:color w:val="000000"/>
          <w:sz w:val="24"/>
          <w:szCs w:val="24"/>
        </w:rPr>
        <w:t>规定了产品的标识、包装、运输和贮存的要求。</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8 贮存和运输</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9 现场补口</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10 安全、卫生和环境保护</w:t>
      </w:r>
    </w:p>
    <w:p w:rsidR="00690D0C" w:rsidRDefault="00684950">
      <w:pPr>
        <w:autoSpaceDE w:val="0"/>
        <w:autoSpaceDN w:val="0"/>
        <w:spacing w:line="360" w:lineRule="auto"/>
        <w:ind w:firstLineChars="200" w:firstLine="480"/>
        <w:jc w:val="left"/>
        <w:rPr>
          <w:rFonts w:ascii="宋体" w:hAnsi="宋体" w:cs="宋体"/>
          <w:bCs/>
          <w:sz w:val="24"/>
        </w:rPr>
      </w:pPr>
      <w:r>
        <w:rPr>
          <w:rFonts w:ascii="宋体" w:hAnsi="宋体" w:cs="宋体" w:hint="eastAsia"/>
          <w:bCs/>
          <w:sz w:val="24"/>
        </w:rPr>
        <w:t>11 文件管理</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（五）与现行法律、法规、政策及相关标准的协调性</w:t>
      </w:r>
    </w:p>
    <w:p w:rsidR="00690D0C" w:rsidRDefault="00684950" w:rsidP="000B1F20">
      <w:pPr>
        <w:spacing w:beforeLines="50" w:afterLines="50" w:line="360" w:lineRule="auto"/>
        <w:ind w:firstLine="465"/>
        <w:rPr>
          <w:rFonts w:ascii="宋体" w:hAnsi="宋体"/>
          <w:sz w:val="24"/>
        </w:rPr>
      </w:pPr>
      <w:r>
        <w:rPr>
          <w:rFonts w:ascii="宋体" w:hAnsi="宋体" w:hint="eastAsia"/>
          <w:sz w:val="24"/>
        </w:rPr>
        <w:t>本标准为新订标准与现行法律、法规、政策相一致，无相矛盾之处。</w:t>
      </w:r>
    </w:p>
    <w:p w:rsidR="00690D0C" w:rsidRDefault="00684950">
      <w:pPr>
        <w:autoSpaceDE w:val="0"/>
        <w:autoSpaceDN w:val="0"/>
        <w:spacing w:line="360" w:lineRule="auto"/>
        <w:jc w:val="left"/>
        <w:rPr>
          <w:rFonts w:ascii="黑体" w:eastAsia="黑体" w:hAnsi="黑体"/>
          <w:sz w:val="28"/>
          <w:szCs w:val="28"/>
        </w:rPr>
      </w:pPr>
      <w:r>
        <w:rPr>
          <w:rFonts w:ascii="黑体" w:eastAsia="黑体" w:hAnsi="黑体" w:hint="eastAsia"/>
          <w:sz w:val="28"/>
          <w:szCs w:val="28"/>
        </w:rPr>
        <w:t>（六）贯彻标准的要求和措施建议；</w:t>
      </w:r>
    </w:p>
    <w:p w:rsidR="00690D0C" w:rsidRDefault="00684950" w:rsidP="00690D0C">
      <w:pPr>
        <w:spacing w:line="420" w:lineRule="exact"/>
        <w:ind w:firstLineChars="177" w:firstLine="425"/>
        <w:rPr>
          <w:color w:val="000000"/>
          <w:sz w:val="24"/>
          <w:szCs w:val="24"/>
        </w:rPr>
      </w:pPr>
      <w:r>
        <w:rPr>
          <w:rFonts w:ascii="宋体" w:hAnsi="宋体" w:hint="eastAsia"/>
          <w:sz w:val="24"/>
        </w:rPr>
        <w:t>本标准发布实施后，使用各方根据自身需要，及时组织人员培训，按照本标准提出的设计技术要求贯彻落实，严格认真遵守本标准规定。</w:t>
      </w:r>
    </w:p>
    <w:p w:rsidR="00690D0C" w:rsidRDefault="00684950" w:rsidP="000B1F20">
      <w:pPr>
        <w:spacing w:beforeLines="50" w:afterLines="50" w:line="420" w:lineRule="exact"/>
        <w:rPr>
          <w:rFonts w:ascii="黑体" w:eastAsia="黑体" w:hAnsi="黑体"/>
          <w:sz w:val="28"/>
          <w:szCs w:val="28"/>
        </w:rPr>
      </w:pPr>
      <w:r>
        <w:rPr>
          <w:rFonts w:ascii="黑体" w:eastAsia="黑体" w:hAnsi="黑体" w:hint="eastAsia"/>
          <w:sz w:val="28"/>
          <w:szCs w:val="28"/>
        </w:rPr>
        <w:lastRenderedPageBreak/>
        <w:t>（七）代替或废止现行标准的建议；</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84950" w:rsidP="000B1F20">
      <w:pPr>
        <w:spacing w:beforeLines="50" w:afterLines="50" w:line="420" w:lineRule="exact"/>
        <w:rPr>
          <w:rFonts w:ascii="黑体" w:eastAsia="黑体" w:hAnsi="黑体"/>
          <w:sz w:val="28"/>
          <w:szCs w:val="28"/>
        </w:rPr>
      </w:pPr>
      <w:r>
        <w:rPr>
          <w:rFonts w:ascii="黑体" w:eastAsia="黑体" w:hAnsi="黑体" w:hint="eastAsia"/>
          <w:sz w:val="28"/>
          <w:szCs w:val="28"/>
        </w:rPr>
        <w:t>（八）采用国际标准和国外先进标准情况；</w:t>
      </w:r>
    </w:p>
    <w:p w:rsidR="00690D0C" w:rsidRDefault="00684950" w:rsidP="00690D0C">
      <w:pPr>
        <w:spacing w:line="420" w:lineRule="exact"/>
        <w:ind w:firstLineChars="177" w:firstLine="425"/>
        <w:rPr>
          <w:color w:val="000000"/>
          <w:sz w:val="24"/>
          <w:szCs w:val="24"/>
        </w:rPr>
      </w:pPr>
      <w:r>
        <w:rPr>
          <w:rFonts w:hint="eastAsia"/>
          <w:color w:val="000000"/>
          <w:sz w:val="24"/>
          <w:szCs w:val="24"/>
        </w:rPr>
        <w:t>未采用国际标准和国外先进标准。</w:t>
      </w:r>
    </w:p>
    <w:p w:rsidR="00690D0C" w:rsidRDefault="00684950" w:rsidP="000B1F20">
      <w:pPr>
        <w:spacing w:beforeLines="50" w:afterLines="50" w:line="420" w:lineRule="exact"/>
        <w:rPr>
          <w:rFonts w:ascii="黑体" w:eastAsia="黑体" w:hAnsi="黑体"/>
          <w:sz w:val="28"/>
          <w:szCs w:val="28"/>
        </w:rPr>
      </w:pPr>
      <w:r>
        <w:rPr>
          <w:rFonts w:ascii="黑体" w:eastAsia="黑体" w:hAnsi="黑体" w:hint="eastAsia"/>
          <w:sz w:val="28"/>
          <w:szCs w:val="28"/>
        </w:rPr>
        <w:t>（九）标准名称与计划项目名称发生变化的主要原因</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84950" w:rsidP="000B1F20">
      <w:pPr>
        <w:numPr>
          <w:ilvl w:val="0"/>
          <w:numId w:val="7"/>
        </w:numPr>
        <w:spacing w:beforeLines="50" w:afterLines="50" w:line="420" w:lineRule="exact"/>
        <w:rPr>
          <w:rFonts w:ascii="黑体" w:eastAsia="黑体" w:hAnsi="黑体"/>
          <w:sz w:val="28"/>
          <w:szCs w:val="28"/>
        </w:rPr>
      </w:pPr>
      <w:r>
        <w:rPr>
          <w:rFonts w:ascii="黑体" w:eastAsia="黑体" w:hAnsi="黑体" w:hint="eastAsia"/>
          <w:sz w:val="28"/>
          <w:szCs w:val="28"/>
        </w:rPr>
        <w:t>重要内容的解释和其它应予说明的事项。</w:t>
      </w:r>
    </w:p>
    <w:p w:rsidR="00690D0C" w:rsidRDefault="00684950" w:rsidP="00690D0C">
      <w:pPr>
        <w:spacing w:line="420" w:lineRule="exact"/>
        <w:ind w:firstLineChars="177" w:firstLine="425"/>
        <w:rPr>
          <w:color w:val="000000"/>
          <w:sz w:val="24"/>
          <w:szCs w:val="24"/>
        </w:rPr>
      </w:pPr>
      <w:r>
        <w:rPr>
          <w:rFonts w:hint="eastAsia"/>
          <w:color w:val="000000"/>
          <w:sz w:val="24"/>
          <w:szCs w:val="24"/>
        </w:rPr>
        <w:t>无。</w:t>
      </w:r>
    </w:p>
    <w:p w:rsidR="00690D0C" w:rsidRDefault="00684950" w:rsidP="00690D0C">
      <w:pPr>
        <w:spacing w:line="420" w:lineRule="exact"/>
        <w:ind w:firstLineChars="177" w:firstLine="425"/>
        <w:rPr>
          <w:color w:val="000000"/>
          <w:sz w:val="24"/>
          <w:szCs w:val="24"/>
        </w:rPr>
      </w:pPr>
      <w:r>
        <w:rPr>
          <w:rFonts w:hint="eastAsia"/>
          <w:color w:val="000000"/>
          <w:sz w:val="24"/>
          <w:szCs w:val="24"/>
        </w:rPr>
        <w:t xml:space="preserve">                                            </w:t>
      </w:r>
    </w:p>
    <w:p w:rsidR="00690D0C" w:rsidRDefault="00690D0C" w:rsidP="00690D0C">
      <w:pPr>
        <w:spacing w:line="420" w:lineRule="exact"/>
        <w:ind w:firstLineChars="177" w:firstLine="425"/>
        <w:rPr>
          <w:color w:val="000000"/>
          <w:sz w:val="24"/>
          <w:szCs w:val="24"/>
        </w:rPr>
      </w:pPr>
    </w:p>
    <w:p w:rsidR="00690D0C" w:rsidRDefault="00684950">
      <w:pPr>
        <w:spacing w:line="420" w:lineRule="exact"/>
        <w:ind w:firstLineChars="2375" w:firstLine="5700"/>
        <w:rPr>
          <w:color w:val="000000"/>
          <w:sz w:val="24"/>
          <w:szCs w:val="24"/>
        </w:rPr>
      </w:pPr>
      <w:r>
        <w:rPr>
          <w:rFonts w:hint="eastAsia"/>
          <w:color w:val="000000"/>
          <w:sz w:val="24"/>
          <w:szCs w:val="24"/>
        </w:rPr>
        <w:t xml:space="preserve">  </w:t>
      </w:r>
      <w:r>
        <w:rPr>
          <w:rFonts w:hint="eastAsia"/>
          <w:color w:val="000000"/>
          <w:sz w:val="24"/>
          <w:szCs w:val="24"/>
        </w:rPr>
        <w:t>国家标准编制组</w:t>
      </w:r>
    </w:p>
    <w:p w:rsidR="00690D0C" w:rsidRDefault="00684950" w:rsidP="00690D0C">
      <w:pPr>
        <w:spacing w:line="420" w:lineRule="exact"/>
        <w:ind w:firstLineChars="177" w:firstLine="425"/>
        <w:rPr>
          <w:color w:val="000000"/>
          <w:sz w:val="24"/>
          <w:szCs w:val="24"/>
        </w:rPr>
      </w:pPr>
      <w:r>
        <w:rPr>
          <w:rFonts w:hint="eastAsia"/>
          <w:color w:val="000000"/>
          <w:sz w:val="24"/>
          <w:szCs w:val="24"/>
        </w:rPr>
        <w:t xml:space="preserve">                                            2017</w:t>
      </w:r>
      <w:r>
        <w:rPr>
          <w:rFonts w:hint="eastAsia"/>
          <w:color w:val="000000"/>
          <w:sz w:val="24"/>
          <w:szCs w:val="24"/>
        </w:rPr>
        <w:t>年</w:t>
      </w:r>
      <w:r>
        <w:rPr>
          <w:rFonts w:hint="eastAsia"/>
          <w:color w:val="000000"/>
          <w:sz w:val="24"/>
          <w:szCs w:val="24"/>
        </w:rPr>
        <w:t>08</w:t>
      </w:r>
      <w:r>
        <w:rPr>
          <w:rFonts w:hint="eastAsia"/>
          <w:color w:val="000000"/>
          <w:sz w:val="24"/>
          <w:szCs w:val="24"/>
        </w:rPr>
        <w:t>月</w:t>
      </w:r>
      <w:r>
        <w:rPr>
          <w:rFonts w:hint="eastAsia"/>
          <w:color w:val="000000"/>
          <w:sz w:val="24"/>
          <w:szCs w:val="24"/>
        </w:rPr>
        <w:t>17</w:t>
      </w:r>
      <w:r>
        <w:rPr>
          <w:rFonts w:hint="eastAsia"/>
          <w:color w:val="000000"/>
          <w:sz w:val="24"/>
          <w:szCs w:val="24"/>
        </w:rPr>
        <w:t>日</w:t>
      </w:r>
    </w:p>
    <w:p w:rsidR="00690D0C" w:rsidRDefault="00690D0C" w:rsidP="000B1F20">
      <w:pPr>
        <w:spacing w:beforeLines="50" w:afterLines="50" w:line="360" w:lineRule="auto"/>
        <w:ind w:firstLine="465"/>
        <w:rPr>
          <w:rFonts w:ascii="宋体" w:hAnsi="宋体"/>
          <w:sz w:val="24"/>
        </w:rPr>
      </w:pPr>
    </w:p>
    <w:p w:rsidR="00690D0C" w:rsidRDefault="00690D0C">
      <w:pPr>
        <w:spacing w:line="360" w:lineRule="auto"/>
        <w:ind w:firstLineChars="200" w:firstLine="480"/>
        <w:jc w:val="left"/>
        <w:rPr>
          <w:rFonts w:ascii="宋体" w:hAnsi="宋体" w:cs="宋体"/>
          <w:bCs/>
          <w:sz w:val="24"/>
        </w:rPr>
      </w:pPr>
    </w:p>
    <w:p w:rsidR="00690D0C" w:rsidRDefault="00690D0C">
      <w:pPr>
        <w:spacing w:line="360" w:lineRule="auto"/>
        <w:ind w:firstLineChars="200" w:firstLine="480"/>
        <w:rPr>
          <w:rFonts w:ascii="宋体" w:hAnsi="宋体"/>
          <w:sz w:val="24"/>
        </w:rPr>
      </w:pPr>
    </w:p>
    <w:p w:rsidR="00690D0C" w:rsidRDefault="00690D0C">
      <w:pPr>
        <w:ind w:firstLineChars="200" w:firstLine="480"/>
        <w:rPr>
          <w:rFonts w:ascii="宋体" w:hAnsi="宋体"/>
          <w:sz w:val="24"/>
        </w:rPr>
      </w:pPr>
    </w:p>
    <w:p w:rsidR="00690D0C" w:rsidRDefault="00690D0C">
      <w:pPr>
        <w:spacing w:line="360" w:lineRule="auto"/>
        <w:jc w:val="left"/>
        <w:rPr>
          <w:rFonts w:ascii="宋体" w:hAnsi="宋体"/>
          <w:b/>
          <w:color w:val="000000"/>
          <w:sz w:val="32"/>
          <w:szCs w:val="32"/>
        </w:rPr>
      </w:pPr>
    </w:p>
    <w:p w:rsidR="00690D0C" w:rsidRDefault="00690D0C"/>
    <w:sectPr w:rsidR="00690D0C" w:rsidSect="00690D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98C" w:rsidRDefault="0027798C" w:rsidP="000B1F20">
      <w:pPr>
        <w:spacing w:line="240" w:lineRule="auto"/>
      </w:pPr>
      <w:r>
        <w:separator/>
      </w:r>
    </w:p>
  </w:endnote>
  <w:endnote w:type="continuationSeparator" w:id="1">
    <w:p w:rsidR="0027798C" w:rsidRDefault="0027798C" w:rsidP="000B1F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98C" w:rsidRDefault="0027798C" w:rsidP="000B1F20">
      <w:pPr>
        <w:spacing w:line="240" w:lineRule="auto"/>
      </w:pPr>
      <w:r>
        <w:separator/>
      </w:r>
    </w:p>
  </w:footnote>
  <w:footnote w:type="continuationSeparator" w:id="1">
    <w:p w:rsidR="0027798C" w:rsidRDefault="0027798C" w:rsidP="000B1F2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83844"/>
    <w:multiLevelType w:val="multilevel"/>
    <w:tmpl w:val="0D983844"/>
    <w:lvl w:ilvl="0">
      <w:start w:val="1"/>
      <w:numFmt w:val="decimal"/>
      <w:pStyle w:val="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98861E2"/>
    <w:multiLevelType w:val="multilevel"/>
    <w:tmpl w:val="398861E2"/>
    <w:lvl w:ilvl="0">
      <w:start w:val="1"/>
      <w:numFmt w:val="decimal"/>
      <w:lvlText w:val="%1)"/>
      <w:lvlJc w:val="left"/>
      <w:pPr>
        <w:tabs>
          <w:tab w:val="left" w:pos="1280"/>
        </w:tabs>
        <w:ind w:left="1280" w:hanging="720"/>
      </w:p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3">
    <w:nsid w:val="44C50F90"/>
    <w:multiLevelType w:val="multilevel"/>
    <w:tmpl w:val="44C50F90"/>
    <w:lvl w:ilvl="0">
      <w:start w:val="1"/>
      <w:numFmt w:val="lowerLetter"/>
      <w:pStyle w:val="a3"/>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4">
    <w:nsid w:val="59AE1792"/>
    <w:multiLevelType w:val="singleLevel"/>
    <w:tmpl w:val="59AE1792"/>
    <w:lvl w:ilvl="0">
      <w:start w:val="10"/>
      <w:numFmt w:val="chineseCounting"/>
      <w:suff w:val="nothing"/>
      <w:lvlText w:val="（%1）"/>
      <w:lvlJc w:val="left"/>
    </w:lvl>
  </w:abstractNum>
  <w:abstractNum w:abstractNumId="5">
    <w:nsid w:val="646260FA"/>
    <w:multiLevelType w:val="multilevel"/>
    <w:tmpl w:val="646260FA"/>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nsid w:val="6DBF04F4"/>
    <w:multiLevelType w:val="multilevel"/>
    <w:tmpl w:val="6DBF04F4"/>
    <w:lvl w:ilvl="0">
      <w:start w:val="1"/>
      <w:numFmt w:val="none"/>
      <w:pStyle w:val="a5"/>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6"/>
  </w:num>
  <w:num w:numId="2">
    <w:abstractNumId w:val="0"/>
  </w:num>
  <w:num w:numId="3">
    <w:abstractNumId w:val="1"/>
  </w:num>
  <w:num w:numId="4">
    <w:abstractNumId w:val="5"/>
  </w:num>
  <w:num w:numId="5">
    <w:abstractNumId w:val="3"/>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BAB3DE9"/>
    <w:rsid w:val="000B1F20"/>
    <w:rsid w:val="0027798C"/>
    <w:rsid w:val="0039486B"/>
    <w:rsid w:val="00684950"/>
    <w:rsid w:val="00690D0C"/>
    <w:rsid w:val="00A141CA"/>
    <w:rsid w:val="00BD5B24"/>
    <w:rsid w:val="16546E22"/>
    <w:rsid w:val="1A6A12B3"/>
    <w:rsid w:val="21336EBC"/>
    <w:rsid w:val="21367F09"/>
    <w:rsid w:val="24292F2E"/>
    <w:rsid w:val="37D74F39"/>
    <w:rsid w:val="3BAB3DE9"/>
    <w:rsid w:val="4FA0152A"/>
    <w:rsid w:val="5D5E6B99"/>
    <w:rsid w:val="62F23C84"/>
    <w:rsid w:val="6D9053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690D0C"/>
    <w:pPr>
      <w:widowControl w:val="0"/>
      <w:adjustRightInd w:val="0"/>
      <w:spacing w:line="312" w:lineRule="atLeast"/>
      <w:jc w:val="both"/>
      <w:textAlignment w:val="baseline"/>
    </w:pPr>
    <w:rPr>
      <w:sz w:val="21"/>
      <w:szCs w:val="2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Body Text"/>
    <w:basedOn w:val="a6"/>
    <w:qFormat/>
    <w:rsid w:val="00690D0C"/>
    <w:pPr>
      <w:adjustRightInd/>
      <w:spacing w:after="120" w:line="240" w:lineRule="auto"/>
      <w:textAlignment w:val="auto"/>
    </w:pPr>
    <w:rPr>
      <w:kern w:val="2"/>
    </w:rPr>
  </w:style>
  <w:style w:type="paragraph" w:styleId="ab">
    <w:name w:val="Plain Text"/>
    <w:basedOn w:val="a6"/>
    <w:qFormat/>
    <w:rsid w:val="00690D0C"/>
    <w:pPr>
      <w:adjustRightInd/>
      <w:spacing w:line="240" w:lineRule="auto"/>
      <w:textAlignment w:val="auto"/>
    </w:pPr>
    <w:rPr>
      <w:rFonts w:ascii="宋体" w:hAnsi="Courier New"/>
      <w:kern w:val="2"/>
    </w:rPr>
  </w:style>
  <w:style w:type="paragraph" w:styleId="ac">
    <w:name w:val="footer"/>
    <w:basedOn w:val="a6"/>
    <w:qFormat/>
    <w:rsid w:val="00690D0C"/>
    <w:pPr>
      <w:tabs>
        <w:tab w:val="center" w:pos="4153"/>
        <w:tab w:val="right" w:pos="8306"/>
      </w:tabs>
      <w:snapToGrid w:val="0"/>
      <w:spacing w:line="240" w:lineRule="atLeast"/>
      <w:jc w:val="left"/>
    </w:pPr>
    <w:rPr>
      <w:sz w:val="18"/>
      <w:szCs w:val="18"/>
    </w:rPr>
  </w:style>
  <w:style w:type="paragraph" w:styleId="ad">
    <w:name w:val="header"/>
    <w:basedOn w:val="a6"/>
    <w:qFormat/>
    <w:rsid w:val="00690D0C"/>
    <w:pPr>
      <w:snapToGrid w:val="0"/>
      <w:jc w:val="left"/>
    </w:pPr>
    <w:rPr>
      <w:sz w:val="18"/>
      <w:szCs w:val="18"/>
    </w:rPr>
  </w:style>
  <w:style w:type="character" w:styleId="ae">
    <w:name w:val="page number"/>
    <w:basedOn w:val="a7"/>
    <w:qFormat/>
    <w:rsid w:val="00690D0C"/>
  </w:style>
  <w:style w:type="paragraph" w:customStyle="1" w:styleId="af">
    <w:name w:val="封面标准名称"/>
    <w:qFormat/>
    <w:rsid w:val="00690D0C"/>
    <w:pPr>
      <w:framePr w:w="9638" w:h="6917" w:hRule="exact" w:wrap="around" w:hAnchor="margin" w:xAlign="center" w:y="5955" w:anchorLock="1"/>
      <w:widowControl w:val="0"/>
      <w:spacing w:line="680" w:lineRule="exact"/>
      <w:jc w:val="center"/>
      <w:textAlignment w:val="center"/>
    </w:pPr>
    <w:rPr>
      <w:rFonts w:ascii="黑体" w:eastAsia="黑体"/>
      <w:sz w:val="52"/>
      <w:szCs w:val="22"/>
    </w:rPr>
  </w:style>
  <w:style w:type="paragraph" w:customStyle="1" w:styleId="af0">
    <w:name w:val="段"/>
    <w:qFormat/>
    <w:rsid w:val="00690D0C"/>
    <w:pPr>
      <w:tabs>
        <w:tab w:val="center" w:pos="4201"/>
        <w:tab w:val="right" w:leader="dot" w:pos="9298"/>
      </w:tabs>
      <w:autoSpaceDE w:val="0"/>
      <w:autoSpaceDN w:val="0"/>
      <w:ind w:firstLineChars="200" w:firstLine="420"/>
      <w:jc w:val="both"/>
    </w:pPr>
    <w:rPr>
      <w:rFonts w:ascii="宋体"/>
      <w:sz w:val="21"/>
      <w:szCs w:val="22"/>
    </w:rPr>
  </w:style>
  <w:style w:type="paragraph" w:customStyle="1" w:styleId="a5">
    <w:name w:val="注："/>
    <w:next w:val="af0"/>
    <w:qFormat/>
    <w:rsid w:val="00690D0C"/>
    <w:pPr>
      <w:widowControl w:val="0"/>
      <w:numPr>
        <w:numId w:val="1"/>
      </w:numPr>
      <w:autoSpaceDE w:val="0"/>
      <w:autoSpaceDN w:val="0"/>
      <w:jc w:val="both"/>
    </w:pPr>
    <w:rPr>
      <w:rFonts w:ascii="宋体"/>
      <w:sz w:val="18"/>
      <w:szCs w:val="18"/>
    </w:rPr>
  </w:style>
  <w:style w:type="paragraph" w:customStyle="1" w:styleId="a">
    <w:name w:val="正文图标题"/>
    <w:next w:val="af0"/>
    <w:qFormat/>
    <w:rsid w:val="00690D0C"/>
    <w:pPr>
      <w:numPr>
        <w:numId w:val="2"/>
      </w:numPr>
      <w:spacing w:beforeLines="50" w:afterLines="50"/>
      <w:jc w:val="center"/>
    </w:pPr>
    <w:rPr>
      <w:rFonts w:ascii="黑体" w:eastAsia="黑体"/>
      <w:sz w:val="21"/>
      <w:szCs w:val="22"/>
    </w:rPr>
  </w:style>
  <w:style w:type="paragraph" w:customStyle="1" w:styleId="a1">
    <w:name w:val="一级条标题"/>
    <w:next w:val="af0"/>
    <w:qFormat/>
    <w:rsid w:val="00690D0C"/>
    <w:pPr>
      <w:numPr>
        <w:ilvl w:val="1"/>
        <w:numId w:val="3"/>
      </w:numPr>
      <w:spacing w:beforeLines="50" w:afterLines="50"/>
      <w:outlineLvl w:val="2"/>
    </w:pPr>
    <w:rPr>
      <w:rFonts w:ascii="黑体" w:eastAsia="黑体"/>
      <w:sz w:val="21"/>
      <w:szCs w:val="21"/>
    </w:rPr>
  </w:style>
  <w:style w:type="paragraph" w:customStyle="1" w:styleId="a4">
    <w:name w:val="正文表标题"/>
    <w:next w:val="af0"/>
    <w:qFormat/>
    <w:rsid w:val="00690D0C"/>
    <w:pPr>
      <w:numPr>
        <w:numId w:val="4"/>
      </w:numPr>
      <w:tabs>
        <w:tab w:val="left" w:pos="360"/>
      </w:tabs>
      <w:spacing w:beforeLines="50" w:afterLines="50"/>
      <w:jc w:val="center"/>
    </w:pPr>
    <w:rPr>
      <w:rFonts w:ascii="黑体" w:eastAsia="黑体"/>
      <w:sz w:val="21"/>
      <w:szCs w:val="22"/>
    </w:rPr>
  </w:style>
  <w:style w:type="paragraph" w:customStyle="1" w:styleId="a2">
    <w:name w:val="二级条标题"/>
    <w:basedOn w:val="a1"/>
    <w:next w:val="af0"/>
    <w:qFormat/>
    <w:rsid w:val="00690D0C"/>
    <w:pPr>
      <w:numPr>
        <w:ilvl w:val="2"/>
      </w:numPr>
      <w:spacing w:before="50" w:after="50"/>
      <w:outlineLvl w:val="3"/>
    </w:pPr>
  </w:style>
  <w:style w:type="paragraph" w:customStyle="1" w:styleId="a3">
    <w:name w:val="字母编号列项（一级）"/>
    <w:qFormat/>
    <w:rsid w:val="00690D0C"/>
    <w:pPr>
      <w:numPr>
        <w:numId w:val="5"/>
      </w:numPr>
      <w:jc w:val="both"/>
    </w:pPr>
    <w:rPr>
      <w:rFonts w:ascii="宋体"/>
      <w:sz w:val="21"/>
      <w:szCs w:val="22"/>
    </w:rPr>
  </w:style>
  <w:style w:type="paragraph" w:customStyle="1" w:styleId="a0">
    <w:name w:val="章标题"/>
    <w:next w:val="af0"/>
    <w:qFormat/>
    <w:rsid w:val="00690D0C"/>
    <w:pPr>
      <w:numPr>
        <w:numId w:val="3"/>
      </w:numPr>
      <w:spacing w:beforeLines="100" w:afterLines="100"/>
      <w:jc w:val="both"/>
      <w:outlineLvl w:val="1"/>
    </w:pPr>
    <w:rPr>
      <w:rFonts w:ascii="黑体" w:eastAsia="黑体"/>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shanlongxin</cp:lastModifiedBy>
  <cp:revision>4</cp:revision>
  <dcterms:created xsi:type="dcterms:W3CDTF">2017-08-17T03:15:00Z</dcterms:created>
  <dcterms:modified xsi:type="dcterms:W3CDTF">2017-11-13T05:27:00Z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