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AB4E82" w14:textId="6D420698" w:rsidR="00D17BA2" w:rsidRPr="0018624B" w:rsidRDefault="00D17BA2" w:rsidP="00D17BA2">
      <w:pPr>
        <w:widowControl/>
        <w:spacing w:line="276" w:lineRule="auto"/>
        <w:jc w:val="left"/>
        <w:rPr>
          <w:rFonts w:ascii="宋体" w:eastAsia="宋体" w:hAnsi="宋体"/>
          <w:b/>
          <w:sz w:val="24"/>
          <w:szCs w:val="24"/>
        </w:rPr>
      </w:pPr>
      <w:r w:rsidRPr="0018624B">
        <w:rPr>
          <w:rFonts w:ascii="宋体" w:eastAsia="宋体" w:hAnsi="宋体" w:hint="eastAsia"/>
          <w:b/>
          <w:sz w:val="24"/>
          <w:szCs w:val="24"/>
        </w:rPr>
        <w:t>附件2</w:t>
      </w:r>
      <w:r>
        <w:rPr>
          <w:rFonts w:ascii="宋体" w:eastAsia="宋体" w:hAnsi="宋体" w:hint="eastAsia"/>
          <w:b/>
          <w:sz w:val="24"/>
          <w:szCs w:val="24"/>
        </w:rPr>
        <w:t>：</w:t>
      </w:r>
      <w:r w:rsidRPr="0018624B">
        <w:rPr>
          <w:rFonts w:ascii="宋体" w:eastAsia="宋体" w:hAnsi="宋体" w:hint="eastAsia"/>
          <w:b/>
          <w:sz w:val="24"/>
          <w:szCs w:val="24"/>
        </w:rPr>
        <w:t>腐蚀控制工程全生命周期标准化体系建设规划内容</w:t>
      </w:r>
    </w:p>
    <w:p w14:paraId="6EEFB5A1" w14:textId="77777777" w:rsidR="00D17BA2" w:rsidRDefault="00D17BA2" w:rsidP="00D17BA2">
      <w:pPr>
        <w:widowControl/>
        <w:spacing w:line="276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  <w:r w:rsidRPr="0018624B">
        <w:rPr>
          <w:rFonts w:ascii="宋体" w:eastAsia="宋体" w:hAnsi="宋体" w:hint="eastAsia"/>
          <w:b/>
          <w:sz w:val="24"/>
          <w:szCs w:val="24"/>
        </w:rPr>
        <w:t>腐蚀控制工程全生命周期（</w:t>
      </w:r>
      <w:r w:rsidRPr="0018624B">
        <w:rPr>
          <w:rFonts w:ascii="宋体" w:eastAsia="宋体" w:hAnsi="宋体"/>
          <w:b/>
          <w:sz w:val="24"/>
          <w:szCs w:val="24"/>
        </w:rPr>
        <w:t>CCELC）标准化体系包括主体标准体系和保障标准体系两大部分如图1所示；</w:t>
      </w:r>
    </w:p>
    <w:p w14:paraId="7D17CA9C" w14:textId="77777777" w:rsidR="006E0D84" w:rsidRDefault="00D17BA2" w:rsidP="00D17BA2">
      <w:pPr>
        <w:widowControl/>
        <w:spacing w:line="276" w:lineRule="auto"/>
        <w:ind w:leftChars="200" w:left="420"/>
        <w:rPr>
          <w:rFonts w:ascii="宋体" w:eastAsia="宋体" w:hAnsi="宋体"/>
          <w:b/>
          <w:sz w:val="24"/>
          <w:szCs w:val="24"/>
        </w:rPr>
      </w:pPr>
      <w:r w:rsidRPr="0018624B">
        <w:rPr>
          <w:rFonts w:ascii="宋体" w:eastAsia="宋体" w:hAnsi="宋体"/>
          <w:b/>
          <w:sz w:val="24"/>
          <w:szCs w:val="24"/>
        </w:rPr>
        <w:t>主体标准体系的框架如图2腐蚀控制工程全生命周期主体标准体系图所示；</w:t>
      </w:r>
    </w:p>
    <w:p w14:paraId="14C4BCE2" w14:textId="77777777" w:rsidR="00D17BA2" w:rsidRDefault="00D17BA2" w:rsidP="00D17BA2">
      <w:pPr>
        <w:widowControl/>
        <w:spacing w:line="276" w:lineRule="auto"/>
        <w:ind w:leftChars="200" w:left="420"/>
        <w:rPr>
          <w:rFonts w:ascii="宋体" w:eastAsia="宋体" w:hAnsi="宋体"/>
          <w:b/>
          <w:sz w:val="24"/>
          <w:szCs w:val="24"/>
        </w:rPr>
      </w:pPr>
      <w:r w:rsidRPr="0018624B">
        <w:rPr>
          <w:rFonts w:ascii="宋体" w:eastAsia="宋体" w:hAnsi="宋体"/>
          <w:b/>
          <w:sz w:val="24"/>
          <w:szCs w:val="24"/>
        </w:rPr>
        <w:t>腐蚀控制工程全生命周期标准化运作体系如图3运作体系图所示，在实施运作的过程中要秉持科学控制理念，精准以情施策，强化专业技术监理，适时开展风险评估，大数据智能化运作，杜绝腐蚀危害；</w:t>
      </w:r>
    </w:p>
    <w:p w14:paraId="5A8EE777" w14:textId="77777777" w:rsidR="00D17BA2" w:rsidRDefault="00D17BA2" w:rsidP="00D17BA2">
      <w:pPr>
        <w:widowControl/>
        <w:spacing w:line="276" w:lineRule="auto"/>
        <w:ind w:leftChars="200" w:left="420"/>
        <w:rPr>
          <w:rFonts w:ascii="宋体" w:eastAsia="宋体" w:hAnsi="宋体"/>
          <w:b/>
          <w:sz w:val="24"/>
          <w:szCs w:val="24"/>
        </w:rPr>
      </w:pPr>
      <w:r w:rsidRPr="0018624B">
        <w:rPr>
          <w:rFonts w:ascii="宋体" w:eastAsia="宋体" w:hAnsi="宋体"/>
          <w:b/>
          <w:sz w:val="24"/>
          <w:szCs w:val="24"/>
        </w:rPr>
        <w:t>腐蚀控制工程全生命周期数据库的建立及其最佳方案的制定如图4所示；</w:t>
      </w:r>
    </w:p>
    <w:p w14:paraId="3752B75E" w14:textId="77777777" w:rsidR="00D17BA2" w:rsidRDefault="00D17BA2" w:rsidP="00D17BA2">
      <w:pPr>
        <w:widowControl/>
        <w:spacing w:line="276" w:lineRule="auto"/>
        <w:ind w:leftChars="200" w:left="420"/>
        <w:rPr>
          <w:rFonts w:ascii="宋体" w:eastAsia="宋体" w:hAnsi="宋体"/>
          <w:b/>
          <w:sz w:val="24"/>
          <w:szCs w:val="24"/>
        </w:rPr>
      </w:pPr>
      <w:r w:rsidRPr="0018624B">
        <w:rPr>
          <w:rFonts w:ascii="宋体" w:eastAsia="宋体" w:hAnsi="宋体"/>
          <w:b/>
          <w:sz w:val="24"/>
          <w:szCs w:val="24"/>
        </w:rPr>
        <w:t>腐蚀控制工程全生命周期数据库如图5</w:t>
      </w:r>
      <w:r w:rsidR="006E0D84">
        <w:rPr>
          <w:rFonts w:ascii="宋体" w:eastAsia="宋体" w:hAnsi="宋体" w:hint="eastAsia"/>
          <w:b/>
          <w:sz w:val="24"/>
          <w:szCs w:val="24"/>
        </w:rPr>
        <w:t>所示</w:t>
      </w:r>
      <w:r w:rsidRPr="0018624B">
        <w:rPr>
          <w:rFonts w:ascii="宋体" w:eastAsia="宋体" w:hAnsi="宋体"/>
          <w:b/>
          <w:sz w:val="24"/>
          <w:szCs w:val="24"/>
        </w:rPr>
        <w:t>；</w:t>
      </w:r>
    </w:p>
    <w:p w14:paraId="7B5163A4" w14:textId="77777777" w:rsidR="00D17BA2" w:rsidRDefault="00D17BA2" w:rsidP="00D17BA2">
      <w:pPr>
        <w:widowControl/>
        <w:spacing w:line="276" w:lineRule="auto"/>
        <w:ind w:leftChars="200" w:left="420"/>
        <w:rPr>
          <w:rFonts w:ascii="宋体" w:eastAsia="宋体" w:hAnsi="宋体"/>
          <w:b/>
          <w:sz w:val="24"/>
          <w:szCs w:val="24"/>
        </w:rPr>
      </w:pPr>
      <w:r w:rsidRPr="0018624B">
        <w:rPr>
          <w:rFonts w:ascii="宋体" w:eastAsia="宋体" w:hAnsi="宋体"/>
          <w:b/>
          <w:sz w:val="24"/>
          <w:szCs w:val="24"/>
        </w:rPr>
        <w:t>技术方案资</w:t>
      </w:r>
      <w:r w:rsidRPr="0018624B">
        <w:rPr>
          <w:rFonts w:ascii="宋体" w:eastAsia="宋体" w:hAnsi="宋体" w:hint="eastAsia"/>
          <w:b/>
          <w:sz w:val="24"/>
          <w:szCs w:val="24"/>
        </w:rPr>
        <w:t>源</w:t>
      </w:r>
      <w:r w:rsidRPr="0018624B">
        <w:rPr>
          <w:rFonts w:ascii="宋体" w:eastAsia="宋体" w:hAnsi="宋体"/>
          <w:b/>
          <w:sz w:val="24"/>
          <w:szCs w:val="24"/>
        </w:rPr>
        <w:t>智能</w:t>
      </w:r>
      <w:r>
        <w:rPr>
          <w:rFonts w:ascii="宋体" w:eastAsia="宋体" w:hAnsi="宋体" w:hint="eastAsia"/>
          <w:b/>
          <w:sz w:val="24"/>
          <w:szCs w:val="24"/>
        </w:rPr>
        <w:t>化</w:t>
      </w:r>
      <w:r w:rsidRPr="0018624B">
        <w:rPr>
          <w:rFonts w:ascii="宋体" w:eastAsia="宋体" w:hAnsi="宋体"/>
          <w:b/>
          <w:sz w:val="24"/>
          <w:szCs w:val="24"/>
        </w:rPr>
        <w:t>体系建设如图6</w:t>
      </w:r>
      <w:r w:rsidRPr="0018624B">
        <w:rPr>
          <w:rFonts w:ascii="宋体" w:eastAsia="宋体" w:hAnsi="宋体" w:hint="eastAsia"/>
          <w:b/>
          <w:sz w:val="24"/>
          <w:szCs w:val="24"/>
        </w:rPr>
        <w:t>；</w:t>
      </w:r>
    </w:p>
    <w:p w14:paraId="7C688A41" w14:textId="77777777" w:rsidR="00D17BA2" w:rsidRPr="0018624B" w:rsidRDefault="00D17BA2" w:rsidP="00D17BA2">
      <w:pPr>
        <w:widowControl/>
        <w:spacing w:line="276" w:lineRule="auto"/>
        <w:ind w:leftChars="200" w:left="420"/>
        <w:rPr>
          <w:rFonts w:ascii="宋体" w:eastAsia="宋体" w:hAnsi="宋体"/>
          <w:b/>
          <w:sz w:val="24"/>
          <w:szCs w:val="24"/>
        </w:rPr>
        <w:sectPr w:rsidR="00D17BA2" w:rsidRPr="0018624B" w:rsidSect="00D17BA2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18624B">
        <w:rPr>
          <w:rFonts w:ascii="宋体" w:eastAsia="宋体" w:hAnsi="宋体"/>
          <w:b/>
          <w:sz w:val="24"/>
          <w:szCs w:val="24"/>
        </w:rPr>
        <w:t>智能化</w:t>
      </w:r>
      <w:r w:rsidR="006E0D84">
        <w:rPr>
          <w:rFonts w:ascii="宋体" w:eastAsia="宋体" w:hAnsi="宋体" w:hint="eastAsia"/>
          <w:b/>
          <w:sz w:val="24"/>
          <w:szCs w:val="24"/>
        </w:rPr>
        <w:t>资源</w:t>
      </w:r>
      <w:r w:rsidRPr="0018624B">
        <w:rPr>
          <w:rFonts w:ascii="宋体" w:eastAsia="宋体" w:hAnsi="宋体"/>
          <w:b/>
          <w:sz w:val="24"/>
          <w:szCs w:val="24"/>
        </w:rPr>
        <w:t>服务平台</w:t>
      </w:r>
      <w:r>
        <w:rPr>
          <w:rFonts w:ascii="宋体" w:eastAsia="宋体" w:hAnsi="宋体" w:hint="eastAsia"/>
          <w:b/>
          <w:sz w:val="24"/>
          <w:szCs w:val="24"/>
        </w:rPr>
        <w:t>体系</w:t>
      </w:r>
      <w:r w:rsidR="003C6AE0">
        <w:rPr>
          <w:rFonts w:ascii="宋体" w:eastAsia="宋体" w:hAnsi="宋体" w:hint="eastAsia"/>
          <w:b/>
          <w:sz w:val="24"/>
          <w:szCs w:val="24"/>
        </w:rPr>
        <w:t>建设</w:t>
      </w:r>
      <w:r w:rsidRPr="0018624B">
        <w:rPr>
          <w:rFonts w:ascii="宋体" w:eastAsia="宋体" w:hAnsi="宋体" w:hint="eastAsia"/>
          <w:b/>
          <w:sz w:val="24"/>
          <w:szCs w:val="24"/>
        </w:rPr>
        <w:t>如图</w:t>
      </w:r>
      <w:r w:rsidRPr="0018624B">
        <w:rPr>
          <w:rFonts w:ascii="宋体" w:eastAsia="宋体" w:hAnsi="宋体"/>
          <w:b/>
          <w:sz w:val="24"/>
          <w:szCs w:val="24"/>
        </w:rPr>
        <w:t>7。</w:t>
      </w:r>
    </w:p>
    <w:p w14:paraId="518CCD3C" w14:textId="77777777" w:rsidR="00BF3856" w:rsidRDefault="00BF3856" w:rsidP="00BF3856">
      <w:pPr>
        <w:widowControl/>
        <w:ind w:firstLineChars="200" w:firstLine="480"/>
        <w:rPr>
          <w:rFonts w:ascii="宋体" w:eastAsia="宋体" w:hAnsi="宋体"/>
          <w:sz w:val="24"/>
          <w:szCs w:val="24"/>
        </w:rPr>
        <w:sectPr w:rsidR="00BF3856" w:rsidSect="00D17BA2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21AA46BF" w14:textId="77777777" w:rsidR="00D307A9" w:rsidRDefault="00D307A9">
      <w:pPr>
        <w:tabs>
          <w:tab w:val="left" w:pos="1174"/>
        </w:tabs>
        <w:spacing w:line="360" w:lineRule="auto"/>
        <w:jc w:val="left"/>
        <w:rPr>
          <w:rFonts w:ascii="宋体" w:eastAsia="宋体" w:hAnsi="宋体"/>
          <w:szCs w:val="21"/>
        </w:rPr>
      </w:pPr>
    </w:p>
    <w:p w14:paraId="1C68DFF6" w14:textId="77777777" w:rsidR="00257351" w:rsidRDefault="00477A77">
      <w:pPr>
        <w:tabs>
          <w:tab w:val="left" w:pos="1174"/>
        </w:tabs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77E1DFBC" wp14:editId="2F51362B">
            <wp:extent cx="9315450" cy="6083300"/>
            <wp:effectExtent l="0" t="0" r="0" b="0"/>
            <wp:docPr id="1026" name="图形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316360" cy="608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9A49" w14:textId="77777777" w:rsidR="0098622E" w:rsidRDefault="00477A77">
      <w:pPr>
        <w:tabs>
          <w:tab w:val="left" w:pos="1174"/>
        </w:tabs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5997E7A9" wp14:editId="339F28A5">
            <wp:extent cx="8863330" cy="5553970"/>
            <wp:effectExtent l="0" t="0" r="0" b="0"/>
            <wp:docPr id="1027" name="图形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形 7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8863330" cy="5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CC04" w14:textId="77777777" w:rsidR="0098622E" w:rsidRDefault="00477A77">
      <w:pPr>
        <w:spacing w:line="0" w:lineRule="atLeast"/>
        <w:jc w:val="center"/>
        <w:rPr>
          <w:b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图</w:t>
      </w:r>
      <w:r>
        <w:rPr>
          <w:b/>
          <w:bCs/>
          <w:color w:val="000000"/>
          <w:sz w:val="28"/>
          <w:szCs w:val="28"/>
        </w:rPr>
        <w:t xml:space="preserve">2 </w:t>
      </w:r>
      <w:r>
        <w:rPr>
          <w:rFonts w:hint="eastAsia"/>
          <w:b/>
          <w:bCs/>
          <w:color w:val="000000"/>
          <w:sz w:val="28"/>
          <w:szCs w:val="28"/>
        </w:rPr>
        <w:t>腐蚀控制工程全生命周期主体标准体系图</w:t>
      </w:r>
    </w:p>
    <w:p w14:paraId="65C2AC10" w14:textId="77777777" w:rsidR="0098622E" w:rsidRDefault="00477A77">
      <w:pPr>
        <w:tabs>
          <w:tab w:val="left" w:pos="1174"/>
        </w:tabs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b/>
          <w:noProof/>
          <w:color w:val="000000"/>
        </w:rPr>
        <w:lastRenderedPageBreak/>
        <w:drawing>
          <wp:inline distT="0" distB="0" distL="0" distR="0" wp14:anchorId="7BE70B25" wp14:editId="69A37609">
            <wp:extent cx="8863330" cy="4924770"/>
            <wp:effectExtent l="0" t="0" r="0" b="0"/>
            <wp:docPr id="1028" name="图形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形 4"/>
                    <pic:cNvPicPr/>
                  </pic:nvPicPr>
                  <pic:blipFill>
                    <a:blip r:embed="rId10" cstate="print"/>
                    <a:srcRect l="7391" r="4545"/>
                    <a:stretch/>
                  </pic:blipFill>
                  <pic:spPr>
                    <a:xfrm>
                      <a:off x="0" y="0"/>
                      <a:ext cx="8863330" cy="4924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D054" w14:textId="77777777" w:rsidR="006E0D84" w:rsidRDefault="006E0D84">
      <w:pPr>
        <w:spacing w:line="0" w:lineRule="atLeast"/>
        <w:jc w:val="center"/>
        <w:rPr>
          <w:b/>
          <w:bCs/>
          <w:color w:val="000000"/>
          <w:sz w:val="28"/>
          <w:szCs w:val="28"/>
        </w:rPr>
      </w:pPr>
    </w:p>
    <w:p w14:paraId="28F823A6" w14:textId="77777777" w:rsidR="006E0D84" w:rsidRDefault="006E0D84">
      <w:pPr>
        <w:spacing w:line="0" w:lineRule="atLeast"/>
        <w:jc w:val="center"/>
        <w:rPr>
          <w:b/>
          <w:bCs/>
          <w:color w:val="000000"/>
          <w:sz w:val="28"/>
          <w:szCs w:val="28"/>
        </w:rPr>
      </w:pPr>
    </w:p>
    <w:p w14:paraId="527C57F8" w14:textId="77777777" w:rsidR="00257351" w:rsidRDefault="00477A77">
      <w:pPr>
        <w:spacing w:line="0" w:lineRule="atLeast"/>
        <w:jc w:val="center"/>
        <w:rPr>
          <w:b/>
          <w:bCs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图</w:t>
      </w:r>
      <w:r>
        <w:rPr>
          <w:b/>
          <w:bCs/>
          <w:color w:val="000000"/>
          <w:sz w:val="28"/>
          <w:szCs w:val="28"/>
        </w:rPr>
        <w:t xml:space="preserve">3 </w:t>
      </w:r>
      <w:r>
        <w:rPr>
          <w:rFonts w:hint="eastAsia"/>
          <w:b/>
          <w:bCs/>
          <w:color w:val="000000"/>
          <w:sz w:val="28"/>
          <w:szCs w:val="28"/>
        </w:rPr>
        <w:t>运作体系图</w:t>
      </w:r>
    </w:p>
    <w:p w14:paraId="07479592" w14:textId="77777777" w:rsidR="0098622E" w:rsidRDefault="0098622E">
      <w:pPr>
        <w:spacing w:line="0" w:lineRule="atLeast"/>
        <w:jc w:val="center"/>
        <w:rPr>
          <w:b/>
          <w:bCs/>
          <w:color w:val="000000"/>
          <w:sz w:val="28"/>
          <w:szCs w:val="28"/>
        </w:rPr>
      </w:pPr>
    </w:p>
    <w:p w14:paraId="6041B8A9" w14:textId="77777777" w:rsidR="0098622E" w:rsidRDefault="0098622E">
      <w:pPr>
        <w:spacing w:line="0" w:lineRule="atLeast"/>
        <w:jc w:val="center"/>
        <w:rPr>
          <w:b/>
          <w:bCs/>
          <w:color w:val="000000"/>
          <w:sz w:val="28"/>
          <w:szCs w:val="28"/>
        </w:rPr>
      </w:pPr>
    </w:p>
    <w:p w14:paraId="54561531" w14:textId="77777777" w:rsidR="0098622E" w:rsidRDefault="0098622E">
      <w:pPr>
        <w:spacing w:line="0" w:lineRule="atLeast"/>
        <w:jc w:val="center"/>
        <w:rPr>
          <w:b/>
          <w:bCs/>
          <w:color w:val="000000"/>
          <w:sz w:val="28"/>
          <w:szCs w:val="28"/>
        </w:rPr>
      </w:pPr>
    </w:p>
    <w:p w14:paraId="0577E4ED" w14:textId="77777777" w:rsidR="0098622E" w:rsidRDefault="0098622E">
      <w:pPr>
        <w:spacing w:line="0" w:lineRule="atLeast"/>
        <w:jc w:val="center"/>
        <w:rPr>
          <w:b/>
          <w:bCs/>
          <w:color w:val="000000"/>
          <w:sz w:val="28"/>
          <w:szCs w:val="28"/>
        </w:rPr>
      </w:pPr>
    </w:p>
    <w:p w14:paraId="63960FB1" w14:textId="77777777" w:rsidR="0098622E" w:rsidRDefault="00477A77">
      <w:pPr>
        <w:spacing w:line="0" w:lineRule="atLeast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</w:rPr>
        <w:lastRenderedPageBreak/>
        <w:drawing>
          <wp:inline distT="0" distB="0" distL="0" distR="0" wp14:anchorId="3EF4312E" wp14:editId="390F797E">
            <wp:extent cx="9353550" cy="5733781"/>
            <wp:effectExtent l="0" t="0" r="0" b="0"/>
            <wp:docPr id="1029" name="图形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形 5"/>
                    <pic:cNvPicPr/>
                  </pic:nvPicPr>
                  <pic:blipFill>
                    <a:blip r:embed="rId11" cstate="print"/>
                    <a:srcRect r="6937"/>
                    <a:stretch/>
                  </pic:blipFill>
                  <pic:spPr>
                    <a:xfrm>
                      <a:off x="0" y="0"/>
                      <a:ext cx="9363502" cy="57398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F0F7" w14:textId="77777777" w:rsidR="0098622E" w:rsidRDefault="0098622E">
      <w:pPr>
        <w:spacing w:line="0" w:lineRule="atLeast"/>
        <w:jc w:val="center"/>
        <w:rPr>
          <w:b/>
          <w:color w:val="000000"/>
          <w:sz w:val="28"/>
          <w:szCs w:val="28"/>
        </w:rPr>
      </w:pPr>
    </w:p>
    <w:p w14:paraId="7FFCEA46" w14:textId="77777777" w:rsidR="0098622E" w:rsidRDefault="0098622E">
      <w:pPr>
        <w:spacing w:line="0" w:lineRule="atLeast"/>
        <w:jc w:val="center"/>
        <w:rPr>
          <w:b/>
          <w:color w:val="000000"/>
          <w:sz w:val="28"/>
          <w:szCs w:val="28"/>
        </w:rPr>
      </w:pPr>
    </w:p>
    <w:p w14:paraId="24B488A0" w14:textId="77777777" w:rsidR="0098622E" w:rsidRDefault="0098622E">
      <w:pPr>
        <w:spacing w:line="0" w:lineRule="atLeast"/>
        <w:jc w:val="center"/>
        <w:rPr>
          <w:b/>
          <w:color w:val="000000"/>
          <w:sz w:val="28"/>
          <w:szCs w:val="28"/>
        </w:rPr>
      </w:pPr>
    </w:p>
    <w:p w14:paraId="3CEA2C14" w14:textId="77777777" w:rsidR="0098622E" w:rsidRDefault="00477A77">
      <w:pPr>
        <w:spacing w:line="0" w:lineRule="atLeast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</w:rPr>
        <w:lastRenderedPageBreak/>
        <w:drawing>
          <wp:inline distT="0" distB="0" distL="0" distR="0" wp14:anchorId="21B4B110" wp14:editId="2BF987EF">
            <wp:extent cx="9232900" cy="5930786"/>
            <wp:effectExtent l="0" t="0" r="0" b="0"/>
            <wp:docPr id="1030" name="图形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形 8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9243166" cy="59373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9DFD1" w14:textId="77777777" w:rsidR="0098622E" w:rsidRDefault="0098622E">
      <w:pPr>
        <w:spacing w:line="0" w:lineRule="atLeast"/>
        <w:jc w:val="center"/>
        <w:rPr>
          <w:b/>
          <w:color w:val="000000"/>
          <w:sz w:val="28"/>
          <w:szCs w:val="28"/>
        </w:rPr>
      </w:pPr>
    </w:p>
    <w:p w14:paraId="55FC4BFC" w14:textId="77777777" w:rsidR="0098622E" w:rsidRDefault="0098622E">
      <w:pPr>
        <w:spacing w:line="0" w:lineRule="atLeast"/>
        <w:jc w:val="center"/>
        <w:rPr>
          <w:b/>
          <w:color w:val="000000"/>
          <w:sz w:val="28"/>
          <w:szCs w:val="28"/>
        </w:rPr>
      </w:pPr>
    </w:p>
    <w:p w14:paraId="4AFBF483" w14:textId="77777777" w:rsidR="00257351" w:rsidRDefault="00257351">
      <w:pPr>
        <w:spacing w:line="0" w:lineRule="atLeast"/>
        <w:rPr>
          <w:b/>
          <w:color w:val="000000"/>
          <w:sz w:val="28"/>
          <w:szCs w:val="28"/>
        </w:rPr>
      </w:pPr>
    </w:p>
    <w:p w14:paraId="3EE029FF" w14:textId="77777777" w:rsidR="0098622E" w:rsidRDefault="00203277">
      <w:pPr>
        <w:spacing w:line="0" w:lineRule="atLeast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EE09C7D" wp14:editId="29E037E3">
            <wp:extent cx="9777730" cy="6115050"/>
            <wp:effectExtent l="0" t="0" r="0" b="0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DE66" w14:textId="77777777" w:rsidR="0098622E" w:rsidRDefault="0098622E">
      <w:pPr>
        <w:spacing w:line="0" w:lineRule="atLeast"/>
        <w:jc w:val="center"/>
        <w:rPr>
          <w:b/>
          <w:color w:val="000000"/>
          <w:sz w:val="28"/>
          <w:szCs w:val="28"/>
        </w:rPr>
      </w:pPr>
    </w:p>
    <w:p w14:paraId="00DBC2D4" w14:textId="77777777" w:rsidR="0098622E" w:rsidRDefault="00203277">
      <w:pPr>
        <w:tabs>
          <w:tab w:val="left" w:pos="1174"/>
        </w:tabs>
        <w:spacing w:line="360" w:lineRule="auto"/>
        <w:ind w:firstLineChars="200" w:firstLine="42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9CCB617" wp14:editId="5D7253CA">
            <wp:extent cx="9777730" cy="5727700"/>
            <wp:effectExtent l="0" t="0" r="0" b="0"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F558" w14:textId="284AAB2F" w:rsidR="00257351" w:rsidRDefault="00A60127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55882" wp14:editId="7F52D88E">
                <wp:simplePos x="0" y="0"/>
                <wp:positionH relativeFrom="column">
                  <wp:posOffset>2387600</wp:posOffset>
                </wp:positionH>
                <wp:positionV relativeFrom="paragraph">
                  <wp:posOffset>130810</wp:posOffset>
                </wp:positionV>
                <wp:extent cx="4314825" cy="487680"/>
                <wp:effectExtent l="0" t="0" r="0" b="0"/>
                <wp:wrapNone/>
                <wp:docPr id="3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4825" cy="48768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14:paraId="687A8B77" w14:textId="77777777" w:rsidR="00250CD5" w:rsidRDefault="00250CD5" w:rsidP="00250CD5">
                            <w:pPr>
                              <w:textAlignment w:val="baseline"/>
                              <w:rPr>
                                <w:rFonts w:ascii="Calibri" w:cs="Times New Roman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图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="Calibri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智能化资源服务平台体系建设图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055882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188pt;margin-top:10.3pt;width:339.75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" filled="f" stroked="f">
                <v:textbox style="mso-fit-shape-to-text:t">
                  <w:txbxContent>
                    <w:p w14:paraId="687A8B77" w14:textId="77777777" w:rsidR="00250CD5" w:rsidRDefault="00250CD5" w:rsidP="00250CD5">
                      <w:pPr>
                        <w:textAlignment w:val="baseline"/>
                        <w:rPr>
                          <w:rFonts w:ascii="Calibri" w:cs="Times New Roman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alibri" w:cs="Times New Roman" w:hint="eastAsia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图</w:t>
                      </w:r>
                      <w:r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ascii="Calibri" w:cs="Times New Roman" w:hint="eastAsia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智能化资源服务平台体系建设图</w:t>
                      </w:r>
                    </w:p>
                  </w:txbxContent>
                </v:textbox>
              </v:shape>
            </w:pict>
          </mc:Fallback>
        </mc:AlternateContent>
      </w:r>
    </w:p>
    <w:p w14:paraId="3D49D888" w14:textId="77777777" w:rsidR="00257351" w:rsidRDefault="00257351">
      <w:pPr>
        <w:rPr>
          <w:rFonts w:ascii="宋体" w:eastAsia="宋体" w:hAnsi="宋体"/>
          <w:szCs w:val="21"/>
        </w:rPr>
      </w:pPr>
    </w:p>
    <w:p w14:paraId="5504BB26" w14:textId="77777777" w:rsidR="00250CD5" w:rsidRDefault="00250CD5" w:rsidP="00250CD5">
      <w:pPr>
        <w:rPr>
          <w:noProof/>
        </w:rPr>
      </w:pPr>
    </w:p>
    <w:p w14:paraId="318C8BF4" w14:textId="77777777" w:rsidR="00257351" w:rsidRDefault="00250CD5">
      <w:pPr>
        <w:tabs>
          <w:tab w:val="left" w:pos="3620"/>
        </w:tabs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ab/>
      </w:r>
    </w:p>
    <w:sectPr w:rsidR="00257351" w:rsidSect="00D17BA2">
      <w:pgSz w:w="16838" w:h="11906" w:orient="landscape"/>
      <w:pgMar w:top="720" w:right="720" w:bottom="720" w:left="72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B2F73" w14:textId="77777777" w:rsidR="003F1697" w:rsidRDefault="003F1697" w:rsidP="00D17BA2">
      <w:r>
        <w:separator/>
      </w:r>
    </w:p>
  </w:endnote>
  <w:endnote w:type="continuationSeparator" w:id="0">
    <w:p w14:paraId="774C92E9" w14:textId="77777777" w:rsidR="003F1697" w:rsidRDefault="003F1697" w:rsidP="00D17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FFC554" w14:textId="77777777" w:rsidR="003F1697" w:rsidRDefault="003F1697" w:rsidP="00D17BA2">
      <w:r>
        <w:separator/>
      </w:r>
    </w:p>
  </w:footnote>
  <w:footnote w:type="continuationSeparator" w:id="0">
    <w:p w14:paraId="5A82AE7F" w14:textId="77777777" w:rsidR="003F1697" w:rsidRDefault="003F1697" w:rsidP="00D17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9CC26A88"/>
    <w:lvl w:ilvl="0" w:tplc="736430E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0000002"/>
    <w:multiLevelType w:val="hybridMultilevel"/>
    <w:tmpl w:val="48EE5B30"/>
    <w:lvl w:ilvl="0" w:tplc="4006A83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456154A7"/>
    <w:multiLevelType w:val="hybridMultilevel"/>
    <w:tmpl w:val="9CC26A88"/>
    <w:lvl w:ilvl="0" w:tplc="736430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Q1N7c0NzcwMbQwtzRV0lEKTi0uzszPAykwrAUAQ0H/XiwAAAA="/>
  </w:docVars>
  <w:rsids>
    <w:rsidRoot w:val="0098622E"/>
    <w:rsid w:val="000F5FCC"/>
    <w:rsid w:val="001D5CBA"/>
    <w:rsid w:val="00203277"/>
    <w:rsid w:val="00250CD5"/>
    <w:rsid w:val="00257351"/>
    <w:rsid w:val="00267B78"/>
    <w:rsid w:val="00271FE8"/>
    <w:rsid w:val="00330E44"/>
    <w:rsid w:val="003A66C4"/>
    <w:rsid w:val="003B2205"/>
    <w:rsid w:val="003C6AE0"/>
    <w:rsid w:val="003F1697"/>
    <w:rsid w:val="00477A77"/>
    <w:rsid w:val="0054625F"/>
    <w:rsid w:val="00595541"/>
    <w:rsid w:val="006E0D84"/>
    <w:rsid w:val="007058F7"/>
    <w:rsid w:val="00731F45"/>
    <w:rsid w:val="00736C3E"/>
    <w:rsid w:val="00787319"/>
    <w:rsid w:val="00816BB4"/>
    <w:rsid w:val="0098622E"/>
    <w:rsid w:val="00A60127"/>
    <w:rsid w:val="00B97512"/>
    <w:rsid w:val="00BF3856"/>
    <w:rsid w:val="00BF5A47"/>
    <w:rsid w:val="00C17C99"/>
    <w:rsid w:val="00CC258D"/>
    <w:rsid w:val="00D17BA2"/>
    <w:rsid w:val="00D307A9"/>
    <w:rsid w:val="00D77E18"/>
    <w:rsid w:val="00DB69E4"/>
    <w:rsid w:val="00DD449E"/>
    <w:rsid w:val="00E4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AEB47B"/>
  <w15:docId w15:val="{8C3FBA07-B8D4-419A-B97F-CA61FC5F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等线" w:eastAsia="等线" w:hAnsi="等线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E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330E44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rsid w:val="00330E44"/>
  </w:style>
  <w:style w:type="paragraph" w:styleId="a5">
    <w:name w:val="List Paragraph"/>
    <w:basedOn w:val="a"/>
    <w:uiPriority w:val="34"/>
    <w:qFormat/>
    <w:rsid w:val="00330E44"/>
    <w:pPr>
      <w:ind w:firstLineChars="200" w:firstLine="420"/>
    </w:pPr>
  </w:style>
  <w:style w:type="paragraph" w:styleId="a6">
    <w:name w:val="header"/>
    <w:basedOn w:val="a"/>
    <w:link w:val="a7"/>
    <w:uiPriority w:val="99"/>
    <w:rsid w:val="00330E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30E44"/>
    <w:rPr>
      <w:sz w:val="18"/>
      <w:szCs w:val="18"/>
    </w:rPr>
  </w:style>
  <w:style w:type="paragraph" w:styleId="a8">
    <w:name w:val="footer"/>
    <w:basedOn w:val="a"/>
    <w:link w:val="a9"/>
    <w:uiPriority w:val="99"/>
    <w:rsid w:val="00330E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30E44"/>
    <w:rPr>
      <w:sz w:val="18"/>
      <w:szCs w:val="18"/>
    </w:rPr>
  </w:style>
  <w:style w:type="paragraph" w:styleId="aa">
    <w:name w:val="Quote"/>
    <w:basedOn w:val="a"/>
    <w:next w:val="a"/>
    <w:link w:val="ab"/>
    <w:uiPriority w:val="29"/>
    <w:qFormat/>
    <w:rsid w:val="00330E44"/>
    <w:rPr>
      <w:i/>
      <w:iCs/>
      <w:color w:val="000000"/>
    </w:rPr>
  </w:style>
  <w:style w:type="character" w:customStyle="1" w:styleId="ab">
    <w:name w:val="引用 字符"/>
    <w:basedOn w:val="a0"/>
    <w:link w:val="aa"/>
    <w:uiPriority w:val="29"/>
    <w:rsid w:val="00330E44"/>
    <w:rPr>
      <w:i/>
      <w:iCs/>
      <w:color w:val="000000"/>
    </w:rPr>
  </w:style>
  <w:style w:type="table" w:styleId="ac">
    <w:name w:val="Table Grid"/>
    <w:basedOn w:val="a1"/>
    <w:uiPriority w:val="99"/>
    <w:rsid w:val="00330E44"/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W-">
    <w:name w:val="WW-题注"/>
    <w:basedOn w:val="a"/>
    <w:next w:val="a"/>
    <w:qFormat/>
    <w:rsid w:val="00330E44"/>
    <w:pPr>
      <w:suppressAutoHyphens/>
      <w:spacing w:before="152" w:after="160"/>
      <w:textAlignment w:val="baseline"/>
    </w:pPr>
    <w:rPr>
      <w:rFonts w:ascii="Arial" w:eastAsia="黑体" w:hAnsi="Arial"/>
      <w:kern w:val="1"/>
      <w:szCs w:val="20"/>
    </w:rPr>
  </w:style>
  <w:style w:type="character" w:styleId="ad">
    <w:name w:val="Hyperlink"/>
    <w:basedOn w:val="a0"/>
    <w:uiPriority w:val="99"/>
    <w:unhideWhenUsed/>
    <w:rsid w:val="00787319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787319"/>
    <w:rPr>
      <w:color w:val="605E5C"/>
      <w:shd w:val="clear" w:color="auto" w:fill="E1DFDD"/>
    </w:rPr>
  </w:style>
  <w:style w:type="character" w:customStyle="1" w:styleId="15">
    <w:name w:val="15"/>
    <w:basedOn w:val="a0"/>
    <w:rsid w:val="00E42CD5"/>
    <w:rPr>
      <w:rFonts w:ascii="等线" w:eastAsia="等线" w:hAnsi="等线" w:hint="eastAsia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DDF7D-C119-4F8E-872F-9F5700E84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53</Words>
  <Characters>303</Characters>
  <Application>Microsoft Office Word</Application>
  <DocSecurity>0</DocSecurity>
  <Lines>2</Lines>
  <Paragraphs>1</Paragraphs>
  <ScaleCrop>false</ScaleCrop>
  <Company>Microsoft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Windows10</dc:creator>
  <cp:lastModifiedBy>Windows10</cp:lastModifiedBy>
  <cp:revision>4</cp:revision>
  <cp:lastPrinted>2021-07-08T02:16:00Z</cp:lastPrinted>
  <dcterms:created xsi:type="dcterms:W3CDTF">2021-07-08T03:36:00Z</dcterms:created>
  <dcterms:modified xsi:type="dcterms:W3CDTF">2021-07-08T03:40:00Z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4064ca665cdd47caa45ba41f7673b4dc</vt:lpwstr>
  </property>
</Properties>
</file>