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9FFC65">
      <w:pPr>
        <w:spacing w:before="240" w:after="240"/>
        <w:rPr>
          <w:rFonts w:hint="default" w:ascii="宋体" w:hAnsi="宋体" w:eastAsia="宋体" w:cs="宋体"/>
          <w:b w:val="0"/>
          <w:bCs w:val="0"/>
          <w:sz w:val="24"/>
          <w:szCs w:val="24"/>
          <w:lang w:val="en-US" w:eastAsia="zh-CN"/>
        </w:rPr>
      </w:pPr>
      <w:bookmarkStart w:id="0" w:name="_Toc238562168"/>
      <w:r>
        <w:rPr>
          <w:rFonts w:hint="eastAsia" w:ascii="宋体" w:hAnsi="宋体" w:eastAsia="宋体" w:cs="宋体"/>
          <w:b w:val="0"/>
          <w:bCs w:val="0"/>
          <w:sz w:val="24"/>
          <w:szCs w:val="24"/>
          <w:lang w:val="en-US" w:eastAsia="zh-CN"/>
        </w:rPr>
        <w:t>附件2：</w:t>
      </w:r>
    </w:p>
    <w:p w14:paraId="2C9000B5">
      <w:pPr>
        <w:spacing w:line="480" w:lineRule="exact"/>
        <w:jc w:val="center"/>
        <w:outlineLvl w:val="0"/>
        <w:rPr>
          <w:rFonts w:ascii="Times New Roman" w:hAnsi="Times New Roman" w:eastAsia="黑体" w:cs="Times New Roman"/>
          <w:sz w:val="36"/>
          <w:szCs w:val="36"/>
        </w:rPr>
      </w:pPr>
      <w:r>
        <w:rPr>
          <w:rFonts w:hint="eastAsia" w:ascii="Times New Roman" w:hAnsi="Times New Roman" w:eastAsia="黑体" w:cs="Times New Roman"/>
          <w:sz w:val="36"/>
          <w:szCs w:val="36"/>
        </w:rPr>
        <w:t>中国腐蚀控制技术协会第八届理事会工作报告</w:t>
      </w:r>
      <w:bookmarkEnd w:id="0"/>
    </w:p>
    <w:p w14:paraId="30707EC7">
      <w:pPr>
        <w:snapToGrid w:val="0"/>
        <w:spacing w:before="312" w:beforeLines="100" w:line="288"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各位领导、各位代表：</w:t>
      </w:r>
    </w:p>
    <w:p w14:paraId="66BC628B">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大家好！</w:t>
      </w:r>
    </w:p>
    <w:p w14:paraId="641D6EEC">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现在，我代表中国腐蚀控制技术协会第八届理事会，向大会作工作报告。</w:t>
      </w:r>
    </w:p>
    <w:p w14:paraId="58353A4F">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2020年，协会第八届理事会正式履职，当时协会名称为中国工业防腐蚀技术协会；2021年6月经民政部批复更名为中国腐蚀控制技术协会，标志行业从被动“防腐蚀”迈入主动“全生命周期腐蚀控制”全新发展阶段。八届理事会以习近平新时代中国特色社会主义思想为指导，强化党建引领，锚定腐蚀控制工程全生命周期核心理论主线，统筹标准化、国际话语权、产业服务、人才培育、科技创新、行业治理六大核心工作，圆满完成“十四五”行业支撑任务。过去的六年，是我国腐蚀控制行业在高质量发展道路上砥砺奋进的六年，也是协会在新时代展现新担当、实现新作为的六年。六年来，协会始终坚持以习近平新时代中国特色社会主义思想为指导，深入贯彻国家产业政策和行业发展战略，紧紧围绕“腐蚀控制工程全生命周期”核心理论与实践，在中央社会工作部和中国石油和化学工业联合会党委的领导下、在主管部门指导下、在全体会员单位支持下，圆满完成了第八届理事会预定的各项工作任务，推动我国腐蚀控制行业实现了从“国际跟跑”向“国际领跑”的历史性跨越。</w:t>
      </w:r>
    </w:p>
    <w:p w14:paraId="0D0ADC18">
      <w:pPr>
        <w:snapToGrid w:val="0"/>
        <w:spacing w:before="120" w:line="288" w:lineRule="auto"/>
        <w:rPr>
          <w:rFonts w:ascii="Times New Roman" w:hAnsi="Times New Roman" w:eastAsia="黑体" w:cs="Times New Roman"/>
          <w:sz w:val="24"/>
          <w:szCs w:val="24"/>
        </w:rPr>
      </w:pPr>
      <w:r>
        <w:rPr>
          <w:rFonts w:hint="eastAsia" w:ascii="Times New Roman" w:hAnsi="Times New Roman" w:eastAsia="黑体" w:cs="Times New Roman"/>
          <w:sz w:val="24"/>
          <w:szCs w:val="24"/>
        </w:rPr>
        <w:t>一、第八届理事会成立以来的主要工作</w:t>
      </w:r>
    </w:p>
    <w:p w14:paraId="74AA2DB4">
      <w:pPr>
        <w:snapToGrid w:val="0"/>
        <w:spacing w:line="288" w:lineRule="auto"/>
        <w:rPr>
          <w:rFonts w:ascii="Times New Roman" w:hAnsi="Times New Roman" w:eastAsia="黑体" w:cs="Times New Roman"/>
          <w:sz w:val="24"/>
          <w:szCs w:val="24"/>
        </w:rPr>
      </w:pPr>
      <w:r>
        <w:rPr>
          <w:rFonts w:hint="eastAsia" w:ascii="Times New Roman" w:hAnsi="Times New Roman" w:eastAsia="黑体" w:cs="Times New Roman"/>
          <w:sz w:val="24"/>
          <w:szCs w:val="24"/>
        </w:rPr>
        <w:t>（一）强化党建引领行业和协会发展</w:t>
      </w:r>
    </w:p>
    <w:p w14:paraId="3FA839F1">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协会始终坚持以习近平新时代中国特色社会主义思想为指导，贯彻习近平生态文明思想，把党的全面领导贯穿行业服务、协会管理全过程，以党建引领行业高质量发展，牢牢把握协会的正确发展航向，切实扛起行业协会政治责任与使命担当，利用有效的腐蚀控制为美丽中国建设全面推进人与自然和谐共生的现代化贡献腐蚀控制行业的力量。</w:t>
      </w:r>
    </w:p>
    <w:p w14:paraId="33C3AD97">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协会坚持党建引领行业发展，完善党支部工作机制，探索党建与业务结合，将党中央方针政策、重大部署贯彻落实纳入年度工作会议、理事会、常务理事会、各类专业会议及秘书处日常会议的会议议程；在行业大会、标准化年会、国际交流活动中常态化开展政策宣贯，围绕高质量发展、新质生产力、绿色低碳、安全生产部署行业专项工作，推动协会建设、行业发展与国家战略目标同向同步、同频共振。充分发挥桥梁纽带作用，以党建凝聚行业共识、整合行业资源，引导腐蚀控制行业全体市场主体自觉服从国家发展大局，以党建引领行业自律、标准创新，切实以过硬党建工作履行新社会组织服务国家、服务行业、服务企业的政治担当。</w:t>
      </w:r>
    </w:p>
    <w:p w14:paraId="74E747EE">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同时，协会坚持党建引领协会管理，把理论学习作为协会党支部建设重要任务，组织全体党员、职工深入学习贯彻党的二十大、二十届历次全会精神，持续夯实思想理论根基</w:t>
      </w:r>
      <w:r>
        <w:rPr>
          <w:rFonts w:ascii="Times New Roman" w:hAnsi="Times New Roman" w:eastAsia="宋体" w:cs="Times New Roman"/>
          <w:sz w:val="24"/>
          <w:szCs w:val="24"/>
        </w:rPr>
        <w:t>，</w:t>
      </w:r>
      <w:r>
        <w:rPr>
          <w:rFonts w:hint="eastAsia" w:ascii="Times New Roman" w:hAnsi="Times New Roman" w:eastAsia="宋体" w:cs="Times New Roman"/>
          <w:sz w:val="24"/>
          <w:szCs w:val="24"/>
        </w:rPr>
        <w:t>深刻领悟“两个确立”的决定性意义，增强“四个意识”、坚定“四个自信”、做到“两个维护，确保全体人员思想不掉队、行动不偏向。深入开展学习和树立正确政绩观，常态长效学习贯彻落实中央八项规定及其实施细则精神，立足全国性行业协会定位，严格遵照民政部、中央社会工作部关于行业协会监管各项规定，全面规范协会财务收支、换届选举、人事管理、开展活动，健全内部管理制度，依规办会、依法治会。</w:t>
      </w:r>
    </w:p>
    <w:p w14:paraId="67BF59A3">
      <w:pPr>
        <w:snapToGrid w:val="0"/>
        <w:spacing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（二）完成协会历史性更名，重塑腐蚀控制行业定位，完善治理框架</w:t>
      </w:r>
    </w:p>
    <w:p w14:paraId="32DEBCE0">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2021年6月9日，民政部正式批复更名（民社登〔2021〕8号），由“中国工业防腐蚀技术协会”更名为“中国腐蚀控制技术协会”，实现三大历史性转变：1理念转变：由局部、被动、事后防护，升级为全链条、主动、源头管控腐蚀工程；2产业定位转变：将腐蚀控制从配套辅助工序提升为国民经济战略性支撑产业；3业务体系拓展：覆盖核电、电力、油气、海洋、市政、新能源、建筑全领域腐蚀管控，打通全生命周期研发、设计、施工、运维、延寿、报废闭环管理。</w:t>
      </w:r>
    </w:p>
    <w:p w14:paraId="26009E1D">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在治理架构方面，常态化召开常务理事扩大会、理事扩大会、标委会年度会议等，审议标准化、行业命名清理、人才培训考核、换届筹备、管理制度等重大议案，民主决策行业重大事项；优化会员管理与行业整顿，清理了之前命名的区域命名（原长垣的“腐蚀控制之都”、萧县的“防腐蚀业第一县”），引导行业摒弃粗放式传统防腐发展模式，向标准化、高质量腐蚀控制工程转型；持续扩充核电、电网、海洋工程、新材料、高新技术企业会员队伍；严格按照上级社会组织管理要求有序推进换届各项工作，保障协会平稳接续发展。</w:t>
      </w:r>
    </w:p>
    <w:p w14:paraId="00BE95FB">
      <w:pPr>
        <w:snapToGrid w:val="0"/>
        <w:spacing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（三）完善并发展形成了现代腐蚀学，汇聚成《现代腐蚀学——腐蚀控制模板》</w:t>
      </w:r>
      <w:bookmarkStart w:id="1" w:name="OLE_LINK10"/>
      <w:bookmarkStart w:id="2" w:name="OLE_LINK11"/>
      <w:r>
        <w:rPr>
          <w:rFonts w:hint="eastAsia" w:ascii="Times New Roman" w:hAnsi="Times New Roman" w:eastAsia="黑体" w:cs="Times New Roman"/>
          <w:sz w:val="24"/>
          <w:szCs w:val="24"/>
        </w:rPr>
        <w:t>和《现代腐蚀熵增学与文明、智慧共演》</w:t>
      </w:r>
      <w:bookmarkEnd w:id="1"/>
      <w:bookmarkEnd w:id="2"/>
      <w:r>
        <w:rPr>
          <w:rFonts w:hint="eastAsia" w:ascii="Times New Roman" w:hAnsi="Times New Roman" w:eastAsia="黑体" w:cs="Times New Roman"/>
          <w:sz w:val="24"/>
          <w:szCs w:val="24"/>
        </w:rPr>
        <w:t>，提出了全新解决腐蚀问题的思路</w:t>
      </w:r>
    </w:p>
    <w:p w14:paraId="2A8C70B0">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以任振铎同志为主的中国腐蚀控制界的专家学者认真、深入、全面地对有关腐蚀和腐蚀控制的历史、现状进行了回顾和总结，创造性地提出了腐蚀控制工程全生命周期理论研究、应用及其标准化的理念，并在世界上率先揭示了腐蚀、工程的本质，确定了“腐蚀”、“工程”的定义，提出了“腐蚀是一项极为特殊而伟大工程”的定位，使腐蚀界长期纠结的模糊概念得到了澄清，被第十届全国人大常委会顾秀莲副委员长评价为“在国际腐蚀控制领域中的发展史上具有里程碑重大意义的一件大事，也是世界腐蚀控制领域中的一大创举”。“腐蚀控制工程全生命周期标准化体系”的创建，腐蚀控制</w:t>
      </w:r>
      <w:r>
        <w:rPr>
          <w:rFonts w:ascii="Times New Roman" w:hAnsi="Times New Roman" w:eastAsia="宋体" w:cs="Times New Roman"/>
          <w:sz w:val="24"/>
          <w:szCs w:val="24"/>
        </w:rPr>
        <w:t>行业实现关键理论原始创新，建立了现代腐蚀熵增学与文明智慧共演理论，完成全球腐蚀控制领域的认知革命与范式革新</w:t>
      </w:r>
      <w:r>
        <w:rPr>
          <w:rFonts w:hint="eastAsia" w:ascii="Times New Roman" w:hAnsi="Times New Roman" w:eastAsia="宋体" w:cs="Times New Roman"/>
          <w:sz w:val="24"/>
          <w:szCs w:val="24"/>
        </w:rPr>
        <w:t>，具有里程碑意义的重大科研创新成果，是从根本上全面控制腐蚀的基础和引擎，开创了从根本上全面有效控制腐蚀的新纪元。</w:t>
      </w:r>
    </w:p>
    <w:p w14:paraId="619CEC61">
      <w:pPr>
        <w:snapToGrid w:val="0"/>
        <w:spacing w:line="288" w:lineRule="auto"/>
        <w:ind w:firstLine="480" w:firstLineChars="200"/>
        <w:rPr>
          <w:rFonts w:hint="eastAsia" w:ascii="Times New Roman" w:hAnsi="Times New Roman" w:eastAsia="宋体" w:cs="Times New Roman"/>
          <w:sz w:val="24"/>
          <w:szCs w:val="24"/>
          <w:lang w:eastAsia="zh-CN"/>
        </w:rPr>
      </w:pPr>
      <w:r>
        <w:rPr>
          <w:rFonts w:hint="eastAsia" w:ascii="Times New Roman" w:hAnsi="Times New Roman" w:eastAsia="宋体" w:cs="Times New Roman"/>
          <w:sz w:val="24"/>
          <w:szCs w:val="24"/>
        </w:rPr>
        <w:t>《现代腐蚀学——腐蚀控制模板》和《现代腐蚀熵增学与文明、智慧共演》就是在此基础上诞生的，它为从根本上全面控制腐蚀，达到腐蚀控制的最佳效益，杜绝或避免安全、环保等重大事故的发生，提供了解决方案，从应用的角度给广大腐蚀工作者在实际工作中提供了一套全新的解决腐蚀问题的思路，是腐蚀控制领域的一大贡献</w:t>
      </w:r>
      <w:r>
        <w:rPr>
          <w:rFonts w:hint="eastAsia" w:ascii="Times New Roman" w:hAnsi="Times New Roman" w:eastAsia="宋体" w:cs="Times New Roman"/>
          <w:sz w:val="24"/>
          <w:szCs w:val="24"/>
          <w:lang w:eastAsia="zh-CN"/>
        </w:rPr>
        <w:t>。</w:t>
      </w:r>
    </w:p>
    <w:p w14:paraId="54DBA560">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黑体" w:cs="Times New Roman"/>
          <w:sz w:val="24"/>
          <w:szCs w:val="24"/>
        </w:rPr>
        <w:t>（四）夯实标准化体系建设，主导国际标准、国家标准、团体标准，掌握全球行业话语权</w:t>
      </w:r>
    </w:p>
    <w:p w14:paraId="0964374F">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标准化工作为本届理事会核心标志性成果，依托国际标准化组织腐蚀控制工程全生命周期标准化技术委员会（ISO/TC156/SC1）（我国担任秘书国，协会承担秘书处和国内技术对口单位）与全国腐蚀控制标准化技术委员会（SAC/TC381）双线推进，构建“国际标准—国家标准—团体标准”三级完整体系。</w:t>
      </w:r>
    </w:p>
    <w:p w14:paraId="64AA8699">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提出并组织制定多项ISO国际标准，实现中国方案的全球输出。2020年底，ISO 23123：2020《腐蚀控制工程全生命周期通用要求》、ISO 23222：2020《腐蚀控制工程全生命周期风险评价》、ISO 23221：2020《管道腐蚀控制工程全生命周期通用要求》三项核心国际标准正式发布，成为全球腐蚀控制工程顶层基础规范，在国际标准化领域实现历史性突破。2022年，提出并牵头研制的</w:t>
      </w:r>
      <w:r>
        <w:rPr>
          <w:rFonts w:ascii="Times New Roman" w:hAnsi="Times New Roman" w:eastAsia="宋体" w:cs="Times New Roman"/>
          <w:sz w:val="24"/>
          <w:szCs w:val="24"/>
        </w:rPr>
        <w:t>ISO24239</w:t>
      </w:r>
      <w:r>
        <w:rPr>
          <w:rFonts w:hint="eastAsia" w:ascii="Times New Roman" w:hAnsi="Times New Roman" w:eastAsia="宋体" w:cs="Times New Roman"/>
          <w:sz w:val="24"/>
          <w:szCs w:val="24"/>
        </w:rPr>
        <w:t>:</w:t>
      </w:r>
      <w:r>
        <w:rPr>
          <w:rFonts w:ascii="Times New Roman" w:hAnsi="Times New Roman" w:eastAsia="宋体" w:cs="Times New Roman"/>
          <w:sz w:val="24"/>
          <w:szCs w:val="24"/>
        </w:rPr>
        <w:t>2022《火电厂腐蚀控制工程全生命周期 通用要求》历经</w:t>
      </w:r>
      <w:r>
        <w:rPr>
          <w:rFonts w:hint="eastAsia" w:ascii="Times New Roman" w:hAnsi="Times New Roman" w:eastAsia="宋体" w:cs="Times New Roman"/>
          <w:sz w:val="24"/>
          <w:szCs w:val="24"/>
        </w:rPr>
        <w:t>3</w:t>
      </w:r>
      <w:r>
        <w:rPr>
          <w:rFonts w:ascii="Times New Roman" w:hAnsi="Times New Roman" w:eastAsia="宋体" w:cs="Times New Roman"/>
          <w:sz w:val="24"/>
          <w:szCs w:val="24"/>
        </w:rPr>
        <w:t>年多的时间正式</w:t>
      </w:r>
      <w:r>
        <w:rPr>
          <w:rFonts w:hint="eastAsia" w:ascii="Times New Roman" w:hAnsi="Times New Roman" w:eastAsia="宋体" w:cs="Times New Roman"/>
          <w:sz w:val="24"/>
          <w:szCs w:val="24"/>
        </w:rPr>
        <w:t>获批发布，既是国际腐蚀控制工程全生命周期标准化又一次重大的突破和飞跃，也进一步推动了对腐蚀的认识。2025年，</w:t>
      </w:r>
      <w:r>
        <w:rPr>
          <w:rFonts w:ascii="Times New Roman" w:hAnsi="Times New Roman" w:eastAsia="宋体" w:cs="Times New Roman"/>
          <w:sz w:val="24"/>
          <w:szCs w:val="24"/>
        </w:rPr>
        <w:t>ISO 16674</w:t>
      </w:r>
      <w:r>
        <w:rPr>
          <w:rFonts w:hint="eastAsia" w:ascii="Times New Roman" w:hAnsi="Times New Roman" w:eastAsia="宋体" w:cs="Times New Roman"/>
          <w:sz w:val="24"/>
          <w:szCs w:val="24"/>
        </w:rPr>
        <w:t>：</w:t>
      </w:r>
      <w:r>
        <w:rPr>
          <w:rFonts w:ascii="Times New Roman" w:hAnsi="Times New Roman" w:eastAsia="宋体" w:cs="Times New Roman"/>
          <w:sz w:val="24"/>
          <w:szCs w:val="24"/>
        </w:rPr>
        <w:t>2025</w:t>
      </w:r>
      <w:r>
        <w:rPr>
          <w:rFonts w:hint="eastAsia" w:ascii="Times New Roman" w:hAnsi="Times New Roman" w:eastAsia="宋体" w:cs="Times New Roman"/>
          <w:sz w:val="24"/>
          <w:szCs w:val="24"/>
        </w:rPr>
        <w:t>《输变电系统腐蚀控制工程全生命周期</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通用要求》和</w:t>
      </w:r>
      <w:r>
        <w:rPr>
          <w:rFonts w:ascii="Times New Roman" w:hAnsi="Times New Roman" w:eastAsia="宋体" w:cs="Times New Roman"/>
          <w:sz w:val="24"/>
          <w:szCs w:val="24"/>
        </w:rPr>
        <w:t>ISO 23225</w:t>
      </w:r>
      <w:r>
        <w:rPr>
          <w:rFonts w:hint="eastAsia" w:ascii="Times New Roman" w:hAnsi="Times New Roman" w:eastAsia="宋体" w:cs="Times New Roman"/>
          <w:sz w:val="24"/>
          <w:szCs w:val="24"/>
        </w:rPr>
        <w:t>：</w:t>
      </w:r>
      <w:r>
        <w:rPr>
          <w:rFonts w:ascii="Times New Roman" w:hAnsi="Times New Roman" w:eastAsia="宋体" w:cs="Times New Roman"/>
          <w:sz w:val="24"/>
          <w:szCs w:val="24"/>
        </w:rPr>
        <w:t>2025</w:t>
      </w:r>
      <w:r>
        <w:rPr>
          <w:rFonts w:hint="eastAsia" w:ascii="Times New Roman" w:hAnsi="Times New Roman" w:eastAsia="宋体" w:cs="Times New Roman"/>
          <w:sz w:val="24"/>
          <w:szCs w:val="24"/>
        </w:rPr>
        <w:t>《核电厂腐蚀控制工程全生命周期</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通用要求》也获批发布，进一步巩固了我国在这一领域的国际标准制定话语权。此外，我国提出并组织制定的ISO/CD 25453《腐蚀控制工程全生命周期 腐蚀源》和ISO/CD 8702《腐蚀控制全生命周期工程专业技术监理》两项在研国际标准项目目前已通过CD草案，推进至DIS阶段。另外，我们也在继续开展新标准项目的预研，持续巩固我国在全球腐蚀控制标准化领域引领地位。</w:t>
      </w:r>
    </w:p>
    <w:p w14:paraId="7CFA7E8F">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在国家标准方面，加快国家标准制修订，覆盖重点工业领域。组织制定《钢制管道外部冷缠矿脂带包覆腐蚀控制技术》、《管道防腐层高温阴极剥离试验方法》、《阴极保护技术条件》等多项国标，其中《腐蚀控制 电化学保护 术语》已成为行业基础性标准。依托SAC/TC381标委会年会机制，每年集中审查、申报国标项目，本届周期累计提出国家标准立项</w:t>
      </w:r>
      <w:r>
        <w:rPr>
          <w:rFonts w:ascii="Times New Roman" w:hAnsi="Times New Roman" w:eastAsia="宋体" w:cs="Times New Roman"/>
          <w:sz w:val="24"/>
          <w:szCs w:val="24"/>
        </w:rPr>
        <w:t>58</w:t>
      </w:r>
      <w:r>
        <w:rPr>
          <w:rFonts w:hint="eastAsia" w:ascii="Times New Roman" w:hAnsi="Times New Roman" w:eastAsia="宋体" w:cs="Times New Roman"/>
          <w:sz w:val="24"/>
          <w:szCs w:val="24"/>
        </w:rPr>
        <w:t>项，获批立项</w:t>
      </w:r>
      <w:r>
        <w:rPr>
          <w:rFonts w:ascii="Times New Roman" w:hAnsi="Times New Roman" w:eastAsia="宋体" w:cs="Times New Roman"/>
          <w:sz w:val="24"/>
          <w:szCs w:val="24"/>
        </w:rPr>
        <w:t>34</w:t>
      </w:r>
      <w:r>
        <w:rPr>
          <w:rFonts w:hint="eastAsia" w:ascii="Times New Roman" w:hAnsi="Times New Roman" w:eastAsia="宋体" w:cs="Times New Roman"/>
          <w:sz w:val="24"/>
          <w:szCs w:val="24"/>
        </w:rPr>
        <w:t>项；应完成国标计划</w:t>
      </w:r>
      <w:r>
        <w:rPr>
          <w:rFonts w:ascii="Times New Roman" w:hAnsi="Times New Roman" w:eastAsia="宋体" w:cs="Times New Roman"/>
          <w:sz w:val="24"/>
          <w:szCs w:val="24"/>
        </w:rPr>
        <w:t>36</w:t>
      </w:r>
      <w:r>
        <w:rPr>
          <w:rFonts w:hint="eastAsia" w:ascii="Times New Roman" w:hAnsi="Times New Roman" w:eastAsia="宋体" w:cs="Times New Roman"/>
          <w:sz w:val="24"/>
          <w:szCs w:val="24"/>
        </w:rPr>
        <w:t>项，实际完成</w:t>
      </w:r>
      <w:r>
        <w:rPr>
          <w:rFonts w:ascii="Times New Roman" w:hAnsi="Times New Roman" w:eastAsia="宋体" w:cs="Times New Roman"/>
          <w:sz w:val="24"/>
          <w:szCs w:val="24"/>
        </w:rPr>
        <w:t>36</w:t>
      </w:r>
      <w:r>
        <w:rPr>
          <w:rFonts w:hint="eastAsia" w:ascii="Times New Roman" w:hAnsi="Times New Roman" w:eastAsia="宋体" w:cs="Times New Roman"/>
          <w:sz w:val="24"/>
          <w:szCs w:val="24"/>
        </w:rPr>
        <w:t>项，完成率</w:t>
      </w:r>
      <w:r>
        <w:rPr>
          <w:rFonts w:ascii="Times New Roman" w:hAnsi="Times New Roman" w:eastAsia="宋体" w:cs="Times New Roman"/>
          <w:sz w:val="24"/>
          <w:szCs w:val="24"/>
        </w:rPr>
        <w:t>100%</w:t>
      </w:r>
      <w:r>
        <w:rPr>
          <w:rFonts w:hint="eastAsia" w:ascii="Times New Roman" w:hAnsi="Times New Roman" w:eastAsia="宋体" w:cs="Times New Roman"/>
          <w:sz w:val="24"/>
          <w:szCs w:val="24"/>
        </w:rPr>
        <w:t>；获批发布推荐性国家标准</w:t>
      </w:r>
      <w:r>
        <w:rPr>
          <w:rFonts w:ascii="Times New Roman" w:hAnsi="Times New Roman" w:eastAsia="宋体" w:cs="Times New Roman"/>
          <w:sz w:val="24"/>
          <w:szCs w:val="24"/>
        </w:rPr>
        <w:t>28</w:t>
      </w:r>
      <w:r>
        <w:rPr>
          <w:rFonts w:hint="eastAsia" w:ascii="Times New Roman" w:hAnsi="Times New Roman" w:eastAsia="宋体" w:cs="Times New Roman"/>
          <w:sz w:val="24"/>
          <w:szCs w:val="24"/>
        </w:rPr>
        <w:t>项，复审推荐性国家标准</w:t>
      </w:r>
      <w:r>
        <w:rPr>
          <w:rFonts w:ascii="Times New Roman" w:hAnsi="Times New Roman" w:eastAsia="宋体" w:cs="Times New Roman"/>
          <w:sz w:val="24"/>
          <w:szCs w:val="24"/>
        </w:rPr>
        <w:t>32</w:t>
      </w:r>
      <w:r>
        <w:rPr>
          <w:rFonts w:hint="eastAsia" w:ascii="Times New Roman" w:hAnsi="Times New Roman" w:eastAsia="宋体" w:cs="Times New Roman"/>
          <w:sz w:val="24"/>
          <w:szCs w:val="24"/>
        </w:rPr>
        <w:t xml:space="preserve">项。完成组织起草、审查报批管道、火电、阴极保护、钢筋阻锈、石墨耐蚀、海洋工程等国家标准项目，聚焦新型电力系统、海洋装备、储能、绿色防腐材料等新兴赛道，为行业技术规范发展提供了有力支撑。完成“十四五”腐蚀控制标准化工作总结，提出“十五五”标准化重点工作及目标，明确全生命周期标准体系中长期建设目标。 </w:t>
      </w:r>
    </w:p>
    <w:p w14:paraId="30D63221">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在团体标准方面，组建团体标准化技术委员会，制定发布《团体标准管理办法》等配套制度，规模化高质量研制团体标准，补齐细分行业空白。目前已经累计发布团体标准40余项，《聚脲喷涂管道复合层耐蚀作业技术规范》等标准已在行业内广泛应用，有效填补了市场标准空白</w:t>
      </w:r>
      <w:bookmarkStart w:id="3" w:name="OLE_LINK30"/>
      <w:bookmarkStart w:id="4" w:name="OLE_LINK29"/>
      <w:r>
        <w:rPr>
          <w:rFonts w:hint="eastAsia" w:ascii="Times New Roman" w:hAnsi="Times New Roman" w:eastAsia="宋体" w:cs="Times New Roman"/>
          <w:sz w:val="24"/>
          <w:szCs w:val="24"/>
        </w:rPr>
        <w:t>。</w:t>
      </w:r>
      <w:bookmarkEnd w:id="3"/>
      <w:bookmarkEnd w:id="4"/>
    </w:p>
    <w:p w14:paraId="244DF155">
      <w:pPr>
        <w:snapToGrid w:val="0"/>
        <w:spacing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（五）贯彻绿色低碳、安全生产战略，接受政府和社会委托服务</w:t>
      </w:r>
    </w:p>
    <w:p w14:paraId="5D301F72">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落实双碳战略，推动绿色腐蚀控制。在标准体系中增加腐蚀控制工程碳排放核算、绿色耐蚀材料评价、低VOC防腐涂料、生物基防腐材料等方向团标、国标；推广长寿命、低维护、可循环腐蚀防护体系，降低工业设备全生命周期资源消耗，助力工业领域节能降碳。  </w:t>
      </w:r>
    </w:p>
    <w:p w14:paraId="1A3342E4">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强化行业安全生产管控。在培训、标准、行业会议中持续宣贯防腐涂装、阴极保护、危化涂料施工、受限空间作业安全规范；通过标准约束腐蚀控制工程设计、施工、运维全流程安全底线，减少因腐蚀失效引发爆炸、泄漏、坍塌重大安全事故。</w:t>
      </w:r>
    </w:p>
    <w:p w14:paraId="3B99DC93">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承接政府委托行业服务。承接标准化管理、行业统计、技术评估、行业政策调研等政府转移职能。国家重大研发计划NQI科研项目（国家质量基础的共性技术研究和应用）中重要国际标准研究项目（其中协会承担腐蚀控制工程全生命周期的ISO国际标准项目研究）2021年6月完成，2021年12月28日以89分的高分通过了中国21世纪议程管理中心的最终验收。商业部国际经济合作事务局领导和中国中元国际工程有限公司的领导和有关技术人员到协会，与协会专家一起进行防盐雾设计施工技术的交流，就中国援外项目滨海和海上项目的腐蚀和腐蚀控制工作进行了咨询。作为国家市场监督管理总局核准和批准的特种设备行政许可鉴定评审机构和型式试验机构，参与起草或修订了TSG 21-2016《固定式压力容器安全技术监察规程》、TSG 07-2019《特种设备生产和充装单位许可规则》、TSG D7002-2023《压力管道元件型式试验规则》、TSG 31-2025《工业管道安全技术规程》、TSG Z6002-2026《特种设备焊接操作人员考核细则》。承担了国家市场监管总局委托的非金属压力管道元件制造、非金属压力容器设计和制造许可的鉴定评审工作以及防腐压力管道元件制造许可的型式试验审查工作，为国家特种设备安全做出了自己的贡献。</w:t>
      </w:r>
    </w:p>
    <w:p w14:paraId="18AFD2A4">
      <w:pPr>
        <w:snapToGrid w:val="0"/>
        <w:spacing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（六）开展技术交流合作，举办系列行业标志性专题学术会议</w:t>
      </w:r>
    </w:p>
    <w:p w14:paraId="2C308BE3">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每年召开协会年度工作会议，同步召开协会年度理事扩大会、全国腐标委会年会，融合政策解读、标准宣贯、技术研讨、企业对接。每年组织召开、组团参加ISO/TC156/SC1国际年会，组织中外专家线上线下技术对接，输出中国腐蚀控制工程全生命周期标准化体系，引进海外先进技术；2023年召开第九届中国国际腐蚀控制大会，总结了国际腐蚀控制工程全生命周期标委会成立8年来砥砺前行的成果和经验，介绍了筹建“国际腐蚀熵增博物馆”的重要性和必要性，探讨了腐蚀科学发展史，学习了现代腐蚀学。2024年举办“开创从根本上全面控制腐蚀工程新纪元”全国誓师大会，发布《现代腐蚀学-腐蚀控制模板》，系统阐释腐蚀控制全新学科理论。2025年在西安召开首届全国腐蚀控制工程大会，总结ISO标委会九年发展成果，面向全行业普及全生命周期腐蚀控制理论。</w:t>
      </w:r>
    </w:p>
    <w:p w14:paraId="5D7340AE">
      <w:pPr>
        <w:snapToGrid w:val="0"/>
        <w:spacing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（七）提升产业服务效能，开展科技鉴定与表彰，赋能行业高质量发展</w:t>
      </w:r>
    </w:p>
    <w:p w14:paraId="29853C69">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充分利用协会交流平台等系列活动，围绕腐蚀控制工程全生命周期理论应用、国际标准推广等主题开展深度研讨，促成多项技术合作与成果转化。常态化开展中国腐蚀控制科学技术奖评选、中国专利奖的推荐工作，面向企业、科研院所、高校征集腐蚀防控新技术、新工艺、新材料成果，表彰技术创新先进主体，累计表彰优秀科技成果80项。累计推荐16项专利参评“中国专利奖”，其中的2项获得中国专利奖优秀奖，1项获中国专利奖金奖，我协会也于2024年荣获第二十五届中国专利奖“优秀组织奖”。</w:t>
      </w:r>
    </w:p>
    <w:p w14:paraId="776B62E1">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强化技术创新引领，组织专家对《管道与储罐防腐作业机器人研制与应用》、《核电厂取水隧洞海洋生物污损智能监检测技术》、《海上风电基础智能型外加电流阴极保护系统》、《替代浅埋特种大电流柔性阳极研发》、《大型石墨闪蒸室的研发与应用》和《硫酸提浓循环再利用装置的开发与应用》等39项新技术、新产品进行鉴定，其中多项达到国际领先水平。</w:t>
      </w:r>
    </w:p>
    <w:p w14:paraId="6DBD50AA">
      <w:pPr>
        <w:snapToGrid w:val="0"/>
        <w:spacing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（八）人才培养、职业能力与行业培训体系</w:t>
      </w:r>
    </w:p>
    <w:p w14:paraId="12CC7E93">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构建覆盖管理、技术、工程、操作全层级的职业化人才培养链条，填补腐蚀控制行业持证上岗规范空白，常态化开展责任腐蚀控制工程师、腐蚀控制职业（项目）经理、腐蚀控制工、腐蚀控制安全员、特种设备质保工程师、非金属压力容器设计审批人员、石墨浸渍、粘接操作工等系统化培训考核。举办特种设备质保工程师、腐蚀控制工、非金属压力容器设计审批人员等各类职业水平培训</w:t>
      </w:r>
      <w:r>
        <w:rPr>
          <w:rFonts w:ascii="Times New Roman" w:hAnsi="Times New Roman" w:eastAsia="宋体" w:cs="Times New Roman"/>
          <w:sz w:val="24"/>
          <w:szCs w:val="24"/>
        </w:rPr>
        <w:t>20</w:t>
      </w:r>
      <w:r>
        <w:rPr>
          <w:rFonts w:hint="eastAsia" w:ascii="Times New Roman" w:hAnsi="Times New Roman" w:eastAsia="宋体" w:cs="Times New Roman"/>
          <w:sz w:val="24"/>
          <w:szCs w:val="24"/>
        </w:rPr>
        <w:t>余期，为行业培养和输送了大批专业人才。</w:t>
      </w:r>
    </w:p>
    <w:p w14:paraId="4A2087C5">
      <w:pPr>
        <w:snapToGrid w:val="0"/>
        <w:spacing w:before="120"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二、存在的问题与不足</w:t>
      </w:r>
    </w:p>
    <w:p w14:paraId="5D057D83">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我们也清醒认识到，协会工作与服务行业发展的新形势、新要求仍存在差距，这些问题需要在今后工作中重点加以解决：</w:t>
      </w:r>
    </w:p>
    <w:p w14:paraId="36ACE87A">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（一）标准化成果转化力度有待加强，部分国际标准、国家标准在中小企业的推广应用不够充分，“标准落地最后一公里”问题尚未完全解决；</w:t>
      </w:r>
    </w:p>
    <w:p w14:paraId="225F5AA7">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（二）技术服务精准度不足，针对新能源、海洋工程、低碳经济等新兴领域的腐蚀控制技术服务体系尚未完善，难以完全满足行业细分市场需求；</w:t>
      </w:r>
    </w:p>
    <w:p w14:paraId="3F257356">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（三）行业创新协同水平不高，企业、高校、科研院所之间的产学研用协同机制不够健全，创新资源整合能力有待提升；</w:t>
      </w:r>
    </w:p>
    <w:p w14:paraId="1AC68CB3">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（四）协会自身建设仍需强化，服务团队的专业能力、数字化服务水平与行业高质量发展要求不相适应，会员服务的覆盖面和时效性有待进一步提高。</w:t>
      </w:r>
    </w:p>
    <w:p w14:paraId="4E107C6E">
      <w:pPr>
        <w:snapToGrid w:val="0"/>
        <w:spacing w:before="120"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三、未来五年工作规划</w:t>
      </w:r>
    </w:p>
    <w:p w14:paraId="698253C9">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未来五年，是我国腐蚀控制行业抢抓“新质生产力”发展机遇、实现转型升级的关键时期。协会将以此次换届为契机，坚持“服务国家、服务行业、服务社会、服务群众”的宗旨，聚焦“国际化、标准化、专业化、数字化”发展方向，高质量推进“十五五” 规划的实施。重点抓好以下工作：</w:t>
      </w:r>
    </w:p>
    <w:p w14:paraId="47D53F54">
      <w:pPr>
        <w:snapToGrid w:val="0"/>
        <w:spacing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（一）加强协会自身建设，筑牢服务保障根基</w:t>
      </w:r>
    </w:p>
    <w:p w14:paraId="5AEB5647">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强化党建引领，不断加强党建和业务工作的深度融合，提升党组织凝聚力和战斗力。完善治理结构，规范理事会、常务理事会运行机制，健全内部管理制度，提升协会规范化管理水平。优化会员服务工作，扩大会员覆盖面，建立会员需求调研和指导服务机制，积极协助企业化解高质量发展中的难点、痛点和堵点，摒弃内卷式竞争。建设数字化协会，搭建线上服务平台，实现会议、培训、咨询等服务数字化，提升服务效率和质量。</w:t>
      </w:r>
    </w:p>
    <w:p w14:paraId="39C2500F">
      <w:pPr>
        <w:widowControl/>
        <w:jc w:val="left"/>
        <w:rPr>
          <w:rFonts w:ascii="Times New Roman" w:hAnsi="Times New Roman" w:eastAsia="宋体" w:cs="Times New Roman"/>
          <w:sz w:val="24"/>
          <w:szCs w:val="24"/>
        </w:rPr>
      </w:pPr>
      <w:r>
        <w:rPr>
          <w:rFonts w:hint="eastAsia" w:ascii="Times New Roman" w:hAnsi="Times New Roman" w:eastAsia="黑体" w:cs="Times New Roman"/>
          <w:sz w:val="24"/>
          <w:szCs w:val="24"/>
        </w:rPr>
        <w:t>（二）</w:t>
      </w:r>
      <w:bookmarkStart w:id="5" w:name="OLE_LINK18"/>
      <w:bookmarkStart w:id="6" w:name="OLE_LINK17"/>
      <w:bookmarkStart w:id="7" w:name="OLE_LINK6"/>
      <w:bookmarkStart w:id="8" w:name="OLE_LINK5"/>
      <w:r>
        <w:rPr>
          <w:rFonts w:hint="eastAsia" w:ascii="Times New Roman" w:hAnsi="Times New Roman" w:eastAsia="黑体" w:cs="Times New Roman"/>
          <w:sz w:val="24"/>
          <w:szCs w:val="24"/>
        </w:rPr>
        <w:t>推动《现代腐蚀学——腐蚀控制模板》和《现代腐蚀熵增学与文明、智慧共演》</w:t>
      </w:r>
      <w:bookmarkEnd w:id="5"/>
      <w:bookmarkEnd w:id="6"/>
      <w:r>
        <w:rPr>
          <w:rFonts w:hint="eastAsia" w:ascii="Times New Roman" w:hAnsi="Times New Roman" w:eastAsia="黑体" w:cs="Times New Roman"/>
          <w:sz w:val="24"/>
          <w:szCs w:val="24"/>
        </w:rPr>
        <w:t>的全面、精准实施</w:t>
      </w:r>
      <w:bookmarkEnd w:id="7"/>
      <w:bookmarkEnd w:id="8"/>
      <w:r>
        <w:rPr>
          <w:rFonts w:hint="eastAsia" w:ascii="Times New Roman" w:hAnsi="Times New Roman" w:eastAsia="黑体" w:cs="Times New Roman"/>
          <w:sz w:val="24"/>
          <w:szCs w:val="24"/>
        </w:rPr>
        <w:t>，完善产业服务体系，提升行业服务精准度</w:t>
      </w:r>
    </w:p>
    <w:p w14:paraId="6E862C48">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现代腐蚀学——腐蚀控制模板》和《现代腐蚀熵增学与文明、智慧共演》是对人类同腐蚀长期的斗争历史、经验教训和控制措施进行了较为系统的总结、研究和思考，是腐蚀控制工程全生命周期理论和标准化工作的升华，</w:t>
      </w:r>
      <w:r>
        <w:rPr>
          <w:rFonts w:ascii="Times New Roman" w:hAnsi="Times New Roman" w:eastAsia="宋体" w:cs="Times New Roman"/>
          <w:sz w:val="24"/>
          <w:szCs w:val="24"/>
        </w:rPr>
        <w:t>形成可定义、可计算、可预测、可验证的标准化管控体系，破解了传统腐蚀治理“重经验、轻量化、难预判”的行业痛点，</w:t>
      </w:r>
      <w:r>
        <w:rPr>
          <w:rFonts w:hint="eastAsia" w:ascii="Times New Roman" w:hAnsi="Times New Roman" w:eastAsia="宋体" w:cs="Times New Roman"/>
          <w:sz w:val="24"/>
          <w:szCs w:val="24"/>
        </w:rPr>
        <w:t>其全面、精准实施，能达到腐蚀的最佳有效控制、无效报警，从根本上全面有效控制腐蚀。拓展行业服务领域，开展腐蚀控制工程风险评估、产业数字化转型、腐蚀熵增诊断等增值服务，助力企业降本增效。</w:t>
      </w:r>
    </w:p>
    <w:p w14:paraId="2C5DC862">
      <w:pPr>
        <w:snapToGrid w:val="0"/>
        <w:spacing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（三）深化标准化战略实施，完善标准体系，筑牢行业发展的技术支撑</w:t>
      </w:r>
    </w:p>
    <w:p w14:paraId="24DD25C1">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继续积极参与国内外腐蚀控制标准的制定工作，推动我国腐蚀控制标准体系的不断完善。加强与国际标准的对接，提高我国标准的国际化水平。</w:t>
      </w:r>
    </w:p>
    <w:p w14:paraId="52FE21E6">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持续主导国际标准化工作，完善腐蚀控制工程全生命周期标准体系，巩固国际领跑地位。加快国家标准和团体标准制修订，聚焦新能源、高端装备、海洋工程等重点领域，形成覆盖全产业链的标准集群。建立标准推广应用机制，开展标准宣贯培训，组织标杆企业开展试点示范，推动标准与产业、市场深度融合，提升标准实施效益，支撑行业高质量发展。</w:t>
      </w:r>
    </w:p>
    <w:p w14:paraId="7A6744A6">
      <w:pPr>
        <w:snapToGrid w:val="0"/>
        <w:spacing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（四）强化创新驱动引领，培育行业发展新动能</w:t>
      </w:r>
    </w:p>
    <w:p w14:paraId="66C19B2C">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搭建产学研用协同创新平台，联合企业、高校及科研机构建立腐蚀控制技术创新联盟，共建研发中心和中试基地，攻坚行业关键核心技术。升级行业品牌活动，办好第十届中国国际腐蚀控制大会和每年一次的国际腐蚀控制工程全生命周期标委会年会，促进技术交流、推广与成果转化，推动腐蚀控制技术服务的上下游延伸。完善行业技术专业能力和水平，优化科学技术奖评奖、专利奖推荐机制，加大对中小企业创新支持力度，培育一批专精特新的腐蚀控制品牌企业，推动区域产业协同发展。</w:t>
      </w:r>
    </w:p>
    <w:p w14:paraId="2C6AE564">
      <w:pPr>
        <w:snapToGrid w:val="0"/>
        <w:spacing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（五）加强人才队伍建设，夯实行业发展人才基础</w:t>
      </w:r>
    </w:p>
    <w:p w14:paraId="1BEEF137">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构建多层次人才培养体系，开展行业亟需的职业培训，培养行业技术骨干；开展国际人才交流，引进海外高端专家，培养一批具备国际视野的复合型人才。完善人才评价与激励机制，建立腐蚀控制行业人才库，激发青年人才创新热情。深化科普宣传工作，建成国际腐蚀熵增博物馆，开展“腐蚀控制科普进企业、进校园、进社区”活动，提升行业社会影响力。</w:t>
      </w:r>
    </w:p>
    <w:p w14:paraId="38A89430">
      <w:pPr>
        <w:snapToGrid w:val="0"/>
        <w:spacing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（六）拓展国际合作空间，提升行业国际竞争力</w:t>
      </w:r>
    </w:p>
    <w:p w14:paraId="3649BAAC">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深化与国际腐蚀控制相关组织的合作，建立常态化交流机制，参与全球腐蚀控制规则制定，推动我国标准和技术“走出去”。组织企业参加国际展会和技术交流活动，搭建海外市场拓展平台，助力企业参与国际竞争。加强跨境技术合作，引进国际先进技术并促进本土化转化，提升我国腐蚀控制产业国际化水平。</w:t>
      </w:r>
    </w:p>
    <w:p w14:paraId="458B2C08">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各位代表、各位同仁，中国腐蚀控制行业正处在前所未有的发展机遇期，协会换届是行业发展的新起点。未来五年，任务艰巨、使命光荣。让我们更加紧密地团结起来，以习近平新时代中国特色社会主义思想为指导，推动《现代腐蚀学——腐蚀控制模板》和《现代腐蚀熵增学与文明、智慧共演》的全面、精准实施，勇担引领国际腐蚀控制工程业发展的重担，锐意进取、真抓实干，为解决腐蚀给人类造成的各种危害、为行业高质量发展、为建设制造强国作出新的更大贡献！</w:t>
      </w:r>
    </w:p>
    <w:p w14:paraId="0724F6B1">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谢谢大家！</w:t>
      </w:r>
    </w:p>
    <w:p w14:paraId="3018983A">
      <w:pPr>
        <w:snapToGrid w:val="0"/>
        <w:spacing w:before="624" w:beforeLines="200" w:line="288" w:lineRule="auto"/>
        <w:jc w:val="right"/>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w:t>
      </w:r>
    </w:p>
    <w:p w14:paraId="3A94BE31">
      <w:pPr>
        <w:snapToGrid w:val="0"/>
        <w:spacing w:before="156" w:beforeLines="50" w:line="288" w:lineRule="auto"/>
        <w:jc w:val="right"/>
        <w:rPr>
          <w:rFonts w:ascii="Times New Roman" w:hAnsi="Times New Roman"/>
          <w:sz w:val="24"/>
          <w:szCs w:val="24"/>
        </w:rPr>
        <w:sectPr>
          <w:pgSz w:w="11906" w:h="16838"/>
          <w:pgMar w:top="1418" w:right="1418" w:bottom="1418" w:left="1701" w:header="851" w:footer="737" w:gutter="0"/>
          <w:cols w:space="425" w:num="1"/>
          <w:docGrid w:type="linesAndChars" w:linePitch="312" w:charSpace="0"/>
        </w:sectPr>
      </w:pPr>
      <w:r>
        <w:rPr>
          <w:rFonts w:hint="eastAsia" w:ascii="Times New Roman" w:hAnsi="Times New Roman" w:eastAsia="宋体" w:cs="Times New Roman"/>
          <w:sz w:val="24"/>
          <w:szCs w:val="24"/>
        </w:rPr>
        <w:t>2026年9月10日</w:t>
      </w:r>
    </w:p>
    <w:p w14:paraId="2E14643C">
      <w:pPr>
        <w:spacing w:line="480" w:lineRule="exact"/>
        <w:jc w:val="center"/>
        <w:outlineLvl w:val="0"/>
        <w:rPr>
          <w:rFonts w:hint="eastAsia" w:ascii="宋体" w:hAnsi="宋体" w:eastAsia="宋体" w:cs="宋体"/>
          <w:b/>
          <w:bCs/>
          <w:sz w:val="28"/>
          <w:szCs w:val="28"/>
        </w:rPr>
      </w:pPr>
      <w:bookmarkStart w:id="9" w:name="_Toc238562169"/>
      <w:r>
        <w:rPr>
          <w:rFonts w:hint="eastAsia" w:ascii="Times New Roman" w:hAnsi="Times New Roman" w:eastAsia="黑体" w:cs="Times New Roman"/>
          <w:sz w:val="36"/>
          <w:szCs w:val="36"/>
        </w:rPr>
        <w:t>中国腐蚀控制技术协会第八届理事会财务报告</w:t>
      </w:r>
      <w:bookmarkEnd w:id="9"/>
    </w:p>
    <w:p w14:paraId="5F562C02">
      <w:pPr>
        <w:spacing w:line="480" w:lineRule="exact"/>
        <w:jc w:val="center"/>
        <w:rPr>
          <w:rFonts w:hint="eastAsia" w:ascii="宋体" w:hAnsi="宋体" w:eastAsia="宋体" w:cs="宋体"/>
          <w:sz w:val="24"/>
          <w:szCs w:val="24"/>
        </w:rPr>
      </w:pPr>
      <w:r>
        <w:rPr>
          <w:rFonts w:hint="eastAsia" w:ascii="Times New Roman" w:hAnsi="Times New Roman" w:eastAsia="楷体" w:cs="Times New Roman"/>
          <w:sz w:val="28"/>
          <w:szCs w:val="28"/>
        </w:rPr>
        <w:t>（2026年9月10日）</w:t>
      </w:r>
    </w:p>
    <w:p w14:paraId="07E33D3E">
      <w:pPr>
        <w:snapToGrid w:val="0"/>
        <w:spacing w:before="312" w:beforeLines="100" w:line="286" w:lineRule="auto"/>
        <w:rPr>
          <w:rFonts w:hint="eastAsia" w:ascii="宋体" w:hAnsi="宋体" w:eastAsia="宋体" w:cs="宋体"/>
          <w:sz w:val="24"/>
          <w:szCs w:val="24"/>
        </w:rPr>
      </w:pPr>
      <w:r>
        <w:rPr>
          <w:rFonts w:hint="eastAsia" w:ascii="Times New Roman" w:hAnsi="Times New Roman" w:eastAsia="宋体" w:cs="Times New Roman"/>
          <w:sz w:val="24"/>
          <w:szCs w:val="24"/>
        </w:rPr>
        <w:t>各位代表：</w:t>
      </w:r>
    </w:p>
    <w:p w14:paraId="33B1384F">
      <w:pPr>
        <w:snapToGrid w:val="0"/>
        <w:spacing w:line="286" w:lineRule="auto"/>
        <w:ind w:firstLine="480" w:firstLineChars="200"/>
        <w:rPr>
          <w:rFonts w:ascii="Calibri" w:hAnsi="Calibri" w:eastAsia="宋体" w:cs="Times New Roman"/>
          <w:sz w:val="24"/>
          <w:szCs w:val="24"/>
        </w:rPr>
      </w:pPr>
      <w:r>
        <w:rPr>
          <w:rFonts w:hint="eastAsia" w:ascii="Times New Roman" w:hAnsi="Times New Roman" w:eastAsia="宋体" w:cs="Times New Roman"/>
          <w:sz w:val="24"/>
          <w:szCs w:val="24"/>
        </w:rPr>
        <w:t>受理事会委托，我向大会作协会第八届理事会财务报告。本报告的起止时间为2020年8月至2026年6月。</w:t>
      </w:r>
    </w:p>
    <w:p w14:paraId="30C9FECC">
      <w:pPr>
        <w:snapToGrid w:val="0"/>
        <w:spacing w:before="60" w:line="286" w:lineRule="auto"/>
        <w:rPr>
          <w:rFonts w:hint="eastAsia" w:ascii="宋体" w:hAnsi="宋体" w:eastAsia="宋体" w:cs="宋体"/>
          <w:sz w:val="24"/>
          <w:szCs w:val="24"/>
        </w:rPr>
      </w:pPr>
      <w:r>
        <w:rPr>
          <w:rFonts w:hint="eastAsia" w:ascii="Times New Roman" w:hAnsi="Times New Roman" w:eastAsia="黑体" w:cs="Times New Roman"/>
          <w:sz w:val="24"/>
          <w:szCs w:val="24"/>
        </w:rPr>
        <w:t>一、财务情况</w:t>
      </w:r>
    </w:p>
    <w:p w14:paraId="5040B89E">
      <w:pPr>
        <w:snapToGrid w:val="0"/>
        <w:spacing w:line="286"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（一）资产</w:t>
      </w:r>
    </w:p>
    <w:p w14:paraId="5DF75D70">
      <w:pPr>
        <w:snapToGrid w:val="0"/>
        <w:spacing w:line="28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本单位截止2026年6月30日资产总额50,409,094.77元。其中：</w:t>
      </w:r>
    </w:p>
    <w:p w14:paraId="75C87BEF">
      <w:pPr>
        <w:snapToGrid w:val="0"/>
        <w:spacing w:line="28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1、货币资金                            期末余额  480,236.73元</w:t>
      </w:r>
    </w:p>
    <w:p w14:paraId="27476F65">
      <w:pPr>
        <w:snapToGrid w:val="0"/>
        <w:spacing w:line="28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其中：现金                                       1,862.71元                           </w:t>
      </w:r>
    </w:p>
    <w:p w14:paraId="7A893AFF">
      <w:pPr>
        <w:snapToGrid w:val="0"/>
        <w:spacing w:line="28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     </w:t>
      </w:r>
      <w:r>
        <w:rPr>
          <w:rFonts w:hint="eastAsia" w:ascii="Calibri" w:hAnsi="Calibri" w:eastAsia="宋体" w:cs="Times New Roman"/>
          <w:sz w:val="24"/>
          <w:szCs w:val="24"/>
        </w:rPr>
        <w:t xml:space="preserve"> </w:t>
      </w:r>
      <w:r>
        <w:rPr>
          <w:rFonts w:hint="eastAsia" w:ascii="Times New Roman" w:hAnsi="Times New Roman" w:eastAsia="宋体" w:cs="Times New Roman"/>
          <w:sz w:val="24"/>
          <w:szCs w:val="24"/>
        </w:rPr>
        <w:t>银行存款                                   478,374.02元</w:t>
      </w:r>
    </w:p>
    <w:p w14:paraId="7DA94983">
      <w:pPr>
        <w:snapToGrid w:val="0"/>
        <w:spacing w:line="28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2、短期投资                            期末余额</w:t>
      </w:r>
      <w:r>
        <w:rPr>
          <w:rFonts w:hint="eastAsia" w:ascii="Calibri" w:hAnsi="Calibri" w:eastAsia="宋体" w:cs="Times New Roman"/>
          <w:sz w:val="24"/>
          <w:szCs w:val="24"/>
        </w:rPr>
        <w:t xml:space="preserve">  </w:t>
      </w:r>
      <w:r>
        <w:rPr>
          <w:rFonts w:hint="eastAsia" w:ascii="Times New Roman" w:hAnsi="Times New Roman" w:eastAsia="宋体" w:cs="Times New Roman"/>
          <w:sz w:val="24"/>
          <w:szCs w:val="24"/>
        </w:rPr>
        <w:t>47,930,600.00元</w:t>
      </w:r>
    </w:p>
    <w:p w14:paraId="6276109D">
      <w:pPr>
        <w:snapToGrid w:val="0"/>
        <w:spacing w:line="28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3、应收款项                            期末余额 </w:t>
      </w:r>
      <w:r>
        <w:rPr>
          <w:rFonts w:hint="eastAsia" w:ascii="Calibri" w:hAnsi="Calibri" w:eastAsia="宋体" w:cs="Times New Roman"/>
          <w:sz w:val="24"/>
          <w:szCs w:val="24"/>
        </w:rPr>
        <w:t xml:space="preserve"> </w:t>
      </w:r>
      <w:r>
        <w:rPr>
          <w:rFonts w:hint="eastAsia" w:ascii="Times New Roman" w:hAnsi="Times New Roman" w:eastAsia="宋体" w:cs="Times New Roman"/>
          <w:sz w:val="24"/>
          <w:szCs w:val="24"/>
        </w:rPr>
        <w:t>1,064,494.86元</w:t>
      </w:r>
    </w:p>
    <w:p w14:paraId="666831C5">
      <w:pPr>
        <w:snapToGrid w:val="0"/>
        <w:spacing w:line="28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其中：应收账款                                   1,064,494.86元</w:t>
      </w:r>
    </w:p>
    <w:p w14:paraId="464A517F">
      <w:pPr>
        <w:snapToGrid w:val="0"/>
        <w:spacing w:line="286" w:lineRule="auto"/>
        <w:ind w:firstLine="1200" w:firstLineChars="500"/>
        <w:rPr>
          <w:rFonts w:ascii="Times New Roman" w:hAnsi="Times New Roman" w:eastAsia="宋体" w:cs="Times New Roman"/>
          <w:sz w:val="24"/>
          <w:szCs w:val="24"/>
        </w:rPr>
      </w:pPr>
      <w:r>
        <w:rPr>
          <w:rFonts w:hint="eastAsia" w:ascii="Times New Roman" w:hAnsi="Times New Roman" w:eastAsia="宋体" w:cs="Times New Roman"/>
          <w:sz w:val="24"/>
          <w:szCs w:val="24"/>
        </w:rPr>
        <w:t>其他应收款                                 0.00元</w:t>
      </w:r>
    </w:p>
    <w:p w14:paraId="2C254370">
      <w:pPr>
        <w:snapToGrid w:val="0"/>
        <w:spacing w:line="28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4、预付账款                            期末余额  181,050.00元</w:t>
      </w:r>
    </w:p>
    <w:p w14:paraId="2C98F269">
      <w:pPr>
        <w:snapToGrid w:val="0"/>
        <w:spacing w:line="28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5、长期股权投资                        期末余额  500,000.00元</w:t>
      </w:r>
    </w:p>
    <w:p w14:paraId="02986E01">
      <w:pPr>
        <w:snapToGrid w:val="0"/>
        <w:spacing w:line="28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其中：《全面腐蚀控制》杂志社有限公司              300,000.00元</w:t>
      </w:r>
    </w:p>
    <w:p w14:paraId="2CC0D742">
      <w:pPr>
        <w:snapToGrid w:val="0"/>
        <w:spacing w:line="28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       万通投资控股股份有限公司                  200,000.00元</w:t>
      </w:r>
    </w:p>
    <w:p w14:paraId="7D0ECFF9">
      <w:pPr>
        <w:snapToGrid w:val="0"/>
        <w:spacing w:line="28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6、固定资产原价                       期末余额</w:t>
      </w:r>
      <w:r>
        <w:rPr>
          <w:rFonts w:hint="eastAsia" w:ascii="Calibri" w:hAnsi="Calibri" w:eastAsia="宋体" w:cs="Times New Roman"/>
          <w:sz w:val="24"/>
          <w:szCs w:val="24"/>
        </w:rPr>
        <w:t xml:space="preserve">   </w:t>
      </w:r>
      <w:r>
        <w:rPr>
          <w:rFonts w:hint="eastAsia" w:ascii="Times New Roman" w:hAnsi="Times New Roman" w:eastAsia="宋体" w:cs="Times New Roman"/>
          <w:sz w:val="24"/>
          <w:szCs w:val="24"/>
        </w:rPr>
        <w:t>3,702,305.14元</w:t>
      </w:r>
    </w:p>
    <w:p w14:paraId="3C4D81DD">
      <w:pPr>
        <w:snapToGrid w:val="0"/>
        <w:spacing w:line="28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累计折旧                              期末余额</w:t>
      </w:r>
      <w:r>
        <w:rPr>
          <w:rFonts w:hint="eastAsia" w:ascii="Calibri" w:hAnsi="Calibri" w:eastAsia="宋体" w:cs="Times New Roman"/>
          <w:sz w:val="24"/>
          <w:szCs w:val="24"/>
        </w:rPr>
        <w:t xml:space="preserve">   </w:t>
      </w:r>
      <w:r>
        <w:rPr>
          <w:rFonts w:hint="eastAsia" w:ascii="Times New Roman" w:hAnsi="Times New Roman" w:eastAsia="宋体" w:cs="Times New Roman"/>
          <w:sz w:val="24"/>
          <w:szCs w:val="24"/>
        </w:rPr>
        <w:t>3,449,591.96元</w:t>
      </w:r>
    </w:p>
    <w:p w14:paraId="047BBF40">
      <w:pPr>
        <w:snapToGrid w:val="0"/>
        <w:spacing w:line="28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固定资产净值                        </w:t>
      </w:r>
      <w:r>
        <w:rPr>
          <w:rFonts w:hint="eastAsia" w:ascii="Calibri" w:hAnsi="Calibri" w:eastAsia="宋体" w:cs="Times New Roman"/>
          <w:sz w:val="24"/>
          <w:szCs w:val="24"/>
        </w:rPr>
        <w:t xml:space="preserve">  </w:t>
      </w:r>
      <w:r>
        <w:rPr>
          <w:rFonts w:hint="eastAsia" w:ascii="Times New Roman" w:hAnsi="Times New Roman" w:eastAsia="宋体" w:cs="Times New Roman"/>
          <w:sz w:val="24"/>
          <w:szCs w:val="24"/>
        </w:rPr>
        <w:t xml:space="preserve">期末余额 </w:t>
      </w:r>
      <w:r>
        <w:rPr>
          <w:rFonts w:hint="eastAsia" w:ascii="Calibri" w:hAnsi="Calibri" w:eastAsia="宋体" w:cs="Times New Roman"/>
          <w:sz w:val="24"/>
          <w:szCs w:val="24"/>
        </w:rPr>
        <w:t xml:space="preserve"> </w:t>
      </w:r>
      <w:r>
        <w:rPr>
          <w:rFonts w:hint="eastAsia" w:ascii="Times New Roman" w:hAnsi="Times New Roman" w:eastAsia="宋体" w:cs="Times New Roman"/>
          <w:sz w:val="24"/>
          <w:szCs w:val="24"/>
        </w:rPr>
        <w:t xml:space="preserve"> 252,713.18元</w:t>
      </w:r>
    </w:p>
    <w:p w14:paraId="1A64A410">
      <w:pPr>
        <w:snapToGrid w:val="0"/>
        <w:spacing w:line="28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7、无形资产原价                       期末余额   4,575.47元</w:t>
      </w:r>
    </w:p>
    <w:p w14:paraId="21F6BAED">
      <w:pPr>
        <w:snapToGrid w:val="0"/>
        <w:spacing w:line="28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累计摊销                              期末余额   4,575.47元</w:t>
      </w:r>
    </w:p>
    <w:p w14:paraId="116DEA05">
      <w:pPr>
        <w:snapToGrid w:val="0"/>
        <w:spacing w:line="28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无形资产净值                          期末余额   0.00元</w:t>
      </w:r>
    </w:p>
    <w:p w14:paraId="40B78614">
      <w:pPr>
        <w:snapToGrid w:val="0"/>
        <w:spacing w:line="286"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（二）负债</w:t>
      </w:r>
    </w:p>
    <w:p w14:paraId="5B9F72F3">
      <w:pPr>
        <w:snapToGrid w:val="0"/>
        <w:spacing w:line="28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本单位截止2026年6月30日负债总额759,191.24元。其中：</w:t>
      </w:r>
    </w:p>
    <w:p w14:paraId="0F09AB46">
      <w:pPr>
        <w:snapToGrid w:val="0"/>
        <w:spacing w:line="286" w:lineRule="auto"/>
        <w:ind w:firstLine="480" w:firstLineChars="200"/>
        <w:rPr>
          <w:rFonts w:ascii="Times New Roman" w:hAnsi="Times New Roman" w:eastAsia="宋体" w:cs="Times New Roman"/>
          <w:sz w:val="24"/>
          <w:szCs w:val="24"/>
        </w:rPr>
      </w:pPr>
      <w:r>
        <w:rPr>
          <w:rFonts w:hint="eastAsia" w:ascii="Calibri" w:hAnsi="Calibri" w:eastAsia="宋体" w:cs="Times New Roman"/>
          <w:sz w:val="24"/>
          <w:szCs w:val="24"/>
        </w:rPr>
        <w:t>1、</w:t>
      </w:r>
      <w:r>
        <w:rPr>
          <w:rFonts w:hint="eastAsia" w:ascii="Times New Roman" w:hAnsi="Times New Roman" w:eastAsia="宋体" w:cs="Times New Roman"/>
          <w:sz w:val="24"/>
          <w:szCs w:val="24"/>
        </w:rPr>
        <w:t>应付款项                           期末余额</w:t>
      </w:r>
      <w:r>
        <w:rPr>
          <w:rFonts w:hint="eastAsia" w:ascii="Calibri" w:hAnsi="Calibri" w:eastAsia="宋体" w:cs="Times New Roman"/>
          <w:sz w:val="24"/>
          <w:szCs w:val="24"/>
        </w:rPr>
        <w:t xml:space="preserve">  </w:t>
      </w:r>
      <w:r>
        <w:rPr>
          <w:rFonts w:hint="eastAsia" w:ascii="Times New Roman" w:hAnsi="Times New Roman" w:eastAsia="宋体" w:cs="Times New Roman"/>
          <w:sz w:val="24"/>
          <w:szCs w:val="24"/>
        </w:rPr>
        <w:t>108,488.49元</w:t>
      </w:r>
    </w:p>
    <w:p w14:paraId="00FC4B7D">
      <w:pPr>
        <w:snapToGrid w:val="0"/>
        <w:spacing w:line="28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其中：应付账款                                  0.00元 </w:t>
      </w:r>
    </w:p>
    <w:p w14:paraId="69E8B095">
      <w:pPr>
        <w:snapToGrid w:val="0"/>
        <w:spacing w:line="28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      其他应付款                                108,488.49元</w:t>
      </w:r>
    </w:p>
    <w:p w14:paraId="1ECB2A7C">
      <w:pPr>
        <w:snapToGrid w:val="0"/>
        <w:spacing w:line="28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2、应交税费                         </w:t>
      </w:r>
      <w:r>
        <w:rPr>
          <w:rFonts w:hint="eastAsia" w:ascii="Calibri" w:hAnsi="Calibri" w:eastAsia="宋体" w:cs="Times New Roman"/>
          <w:sz w:val="24"/>
          <w:szCs w:val="24"/>
        </w:rPr>
        <w:t xml:space="preserve"> </w:t>
      </w:r>
      <w:r>
        <w:rPr>
          <w:rFonts w:hint="eastAsia" w:ascii="Times New Roman" w:hAnsi="Times New Roman" w:eastAsia="宋体" w:cs="Times New Roman"/>
          <w:sz w:val="24"/>
          <w:szCs w:val="24"/>
        </w:rPr>
        <w:t xml:space="preserve"> 期末余额</w:t>
      </w:r>
      <w:r>
        <w:rPr>
          <w:rFonts w:hint="eastAsia" w:ascii="Calibri" w:hAnsi="Calibri" w:eastAsia="宋体" w:cs="Times New Roman"/>
          <w:sz w:val="24"/>
          <w:szCs w:val="24"/>
        </w:rPr>
        <w:t xml:space="preserve">  </w:t>
      </w:r>
      <w:r>
        <w:rPr>
          <w:rFonts w:hint="eastAsia" w:ascii="Times New Roman" w:hAnsi="Times New Roman" w:eastAsia="宋体" w:cs="Times New Roman"/>
          <w:sz w:val="24"/>
          <w:szCs w:val="24"/>
        </w:rPr>
        <w:t>650,702.75元</w:t>
      </w:r>
    </w:p>
    <w:p w14:paraId="73299AA1">
      <w:pPr>
        <w:snapToGrid w:val="0"/>
        <w:spacing w:line="28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其中： 城建税                                   3,058.47元</w:t>
      </w:r>
    </w:p>
    <w:p w14:paraId="1E1E0C8D">
      <w:pPr>
        <w:snapToGrid w:val="0"/>
        <w:spacing w:line="28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       教育费附加                               1,310.77元</w:t>
      </w:r>
    </w:p>
    <w:p w14:paraId="01D42CA8">
      <w:pPr>
        <w:snapToGrid w:val="0"/>
        <w:spacing w:line="28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       个人所得税                               601,767.20元</w:t>
      </w:r>
    </w:p>
    <w:p w14:paraId="43C1DBAF">
      <w:pPr>
        <w:snapToGrid w:val="0"/>
        <w:spacing w:line="28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       地方教育费附加                           873.85元</w:t>
      </w:r>
    </w:p>
    <w:p w14:paraId="7F159A52">
      <w:pPr>
        <w:snapToGrid w:val="0"/>
        <w:spacing w:line="28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       未交增值税                               43,692.46元</w:t>
      </w:r>
    </w:p>
    <w:p w14:paraId="7ACE3326">
      <w:pPr>
        <w:snapToGrid w:val="0"/>
        <w:spacing w:line="288"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（三）净资产</w:t>
      </w:r>
    </w:p>
    <w:p w14:paraId="538D2048">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本单位截止2026年6月30日净资产总额49,649,903.53元。其中：非限定性净资产期末余额49,649,903.53元。与上届净资产总额24,903,754.30元相比，本届净资产总额增加24,746,149.23元。</w:t>
      </w:r>
    </w:p>
    <w:p w14:paraId="681C3E26">
      <w:pPr>
        <w:snapToGrid w:val="0"/>
        <w:spacing w:before="120"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二、汇总收支情况</w:t>
      </w:r>
    </w:p>
    <w:p w14:paraId="1E892966">
      <w:pPr>
        <w:snapToGrid w:val="0"/>
        <w:spacing w:line="288"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（一）收入情况</w:t>
      </w:r>
    </w:p>
    <w:p w14:paraId="0F05EF9F">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本单位自2020年8月至2025年12月执行旧《民间非营利组织会计制度》，收入总额68,248,723.23元。其中：</w:t>
      </w:r>
    </w:p>
    <w:p w14:paraId="71C657C3">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1、会费收入                            累计发生额  8,037,800.00元</w:t>
      </w:r>
    </w:p>
    <w:p w14:paraId="6121CC19">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2、提供服务收入                        累计发生额</w:t>
      </w:r>
      <w:r>
        <w:rPr>
          <w:rFonts w:hint="eastAsia" w:ascii="Calibri" w:hAnsi="Calibri" w:eastAsia="宋体" w:cs="Times New Roman"/>
          <w:sz w:val="24"/>
          <w:szCs w:val="24"/>
        </w:rPr>
        <w:t xml:space="preserve">  </w:t>
      </w:r>
      <w:r>
        <w:rPr>
          <w:rFonts w:hint="eastAsia" w:ascii="Times New Roman" w:hAnsi="Times New Roman" w:eastAsia="宋体" w:cs="Times New Roman"/>
          <w:sz w:val="24"/>
          <w:szCs w:val="24"/>
        </w:rPr>
        <w:t>50,957,021.95元</w:t>
      </w:r>
    </w:p>
    <w:p w14:paraId="689FC973">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3、商品销售收入                        累计发生额  33,022.84元</w:t>
      </w:r>
    </w:p>
    <w:p w14:paraId="55002FF8">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4、政府补助收入                      </w:t>
      </w:r>
      <w:r>
        <w:rPr>
          <w:rFonts w:hint="eastAsia" w:ascii="Calibri" w:hAnsi="Calibri" w:eastAsia="宋体" w:cs="Times New Roman"/>
          <w:sz w:val="24"/>
          <w:szCs w:val="24"/>
        </w:rPr>
        <w:t xml:space="preserve"> </w:t>
      </w:r>
      <w:r>
        <w:rPr>
          <w:rFonts w:hint="eastAsia" w:ascii="Times New Roman" w:hAnsi="Times New Roman" w:eastAsia="宋体" w:cs="Times New Roman"/>
          <w:sz w:val="24"/>
          <w:szCs w:val="24"/>
        </w:rPr>
        <w:t xml:space="preserve"> 累计发生额  90,000.00元</w:t>
      </w:r>
    </w:p>
    <w:p w14:paraId="033D2C37">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5、投资收益                            累计发生额 </w:t>
      </w:r>
      <w:r>
        <w:rPr>
          <w:rFonts w:hint="eastAsia" w:ascii="Calibri" w:hAnsi="Calibri" w:eastAsia="宋体" w:cs="Times New Roman"/>
          <w:sz w:val="24"/>
          <w:szCs w:val="24"/>
        </w:rPr>
        <w:t xml:space="preserve"> </w:t>
      </w:r>
      <w:r>
        <w:rPr>
          <w:rFonts w:hint="eastAsia" w:ascii="Times New Roman" w:hAnsi="Times New Roman" w:eastAsia="宋体" w:cs="Times New Roman"/>
          <w:sz w:val="24"/>
          <w:szCs w:val="24"/>
        </w:rPr>
        <w:t>8,646,269.84元</w:t>
      </w:r>
    </w:p>
    <w:p w14:paraId="5CD5FBC4">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6、其他收入                            累计发生额  484,608.60元</w:t>
      </w:r>
    </w:p>
    <w:p w14:paraId="18287A7B">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本单位自2026年1月至2026年6月执行新《民间非营利组织会计制度》，收入总额6,907,184.75元。其中：</w:t>
      </w:r>
    </w:p>
    <w:p w14:paraId="63EF76DB">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1、会费收入                            累计发生额  674,000.00元</w:t>
      </w:r>
    </w:p>
    <w:p w14:paraId="74AF95E8">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2、提供服务收入                        累计发生额</w:t>
      </w:r>
      <w:r>
        <w:rPr>
          <w:rFonts w:hint="eastAsia" w:ascii="Calibri" w:hAnsi="Calibri" w:eastAsia="宋体" w:cs="Times New Roman"/>
          <w:sz w:val="24"/>
          <w:szCs w:val="24"/>
        </w:rPr>
        <w:t xml:space="preserve">  </w:t>
      </w:r>
      <w:r>
        <w:rPr>
          <w:rFonts w:hint="eastAsia" w:ascii="Times New Roman" w:hAnsi="Times New Roman" w:eastAsia="宋体" w:cs="Times New Roman"/>
          <w:sz w:val="24"/>
          <w:szCs w:val="24"/>
        </w:rPr>
        <w:t>6,204,930.43元</w:t>
      </w:r>
    </w:p>
    <w:p w14:paraId="0F16EA22">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3、其他收入                            累计发生额  28,254.32元</w:t>
      </w:r>
    </w:p>
    <w:p w14:paraId="7D20CFC6">
      <w:pPr>
        <w:snapToGrid w:val="0"/>
        <w:spacing w:line="288"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（二）支出情况</w:t>
      </w:r>
    </w:p>
    <w:p w14:paraId="6ECFCC53">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本单位自2020年8月至2025年12月执行旧《民间非营利组织会计制度》，支出总额43,936,959.90元。其中：</w:t>
      </w:r>
    </w:p>
    <w:p w14:paraId="34DE6D7C">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1、业务活动成本                        累计发生额</w:t>
      </w:r>
      <w:r>
        <w:rPr>
          <w:rFonts w:hint="eastAsia" w:ascii="Calibri" w:hAnsi="Calibri" w:eastAsia="宋体" w:cs="Times New Roman"/>
          <w:sz w:val="24"/>
          <w:szCs w:val="24"/>
        </w:rPr>
        <w:t xml:space="preserve">  </w:t>
      </w:r>
      <w:r>
        <w:rPr>
          <w:rFonts w:hint="eastAsia" w:ascii="Times New Roman" w:hAnsi="Times New Roman" w:eastAsia="宋体" w:cs="Times New Roman"/>
          <w:sz w:val="24"/>
          <w:szCs w:val="24"/>
        </w:rPr>
        <w:t>31,377,419.00元</w:t>
      </w:r>
    </w:p>
    <w:p w14:paraId="541B0616">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2、管理费用                            累计发生额 </w:t>
      </w:r>
      <w:r>
        <w:rPr>
          <w:rFonts w:hint="eastAsia" w:ascii="Calibri" w:hAnsi="Calibri" w:eastAsia="宋体" w:cs="Times New Roman"/>
          <w:sz w:val="24"/>
          <w:szCs w:val="24"/>
        </w:rPr>
        <w:t xml:space="preserve"> </w:t>
      </w:r>
      <w:r>
        <w:rPr>
          <w:rFonts w:hint="eastAsia" w:ascii="Times New Roman" w:hAnsi="Times New Roman" w:eastAsia="宋体" w:cs="Times New Roman"/>
          <w:sz w:val="24"/>
          <w:szCs w:val="24"/>
        </w:rPr>
        <w:t>8,473,986.31元</w:t>
      </w:r>
    </w:p>
    <w:p w14:paraId="2BC5643E">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3、其他费用                           </w:t>
      </w:r>
      <w:r>
        <w:rPr>
          <w:rFonts w:hint="eastAsia" w:ascii="Calibri" w:hAnsi="Calibri" w:eastAsia="宋体" w:cs="Times New Roman"/>
          <w:sz w:val="24"/>
          <w:szCs w:val="24"/>
        </w:rPr>
        <w:t xml:space="preserve"> </w:t>
      </w:r>
      <w:r>
        <w:rPr>
          <w:rFonts w:hint="eastAsia" w:ascii="Times New Roman" w:hAnsi="Times New Roman" w:eastAsia="宋体" w:cs="Times New Roman"/>
          <w:sz w:val="24"/>
          <w:szCs w:val="24"/>
        </w:rPr>
        <w:t xml:space="preserve">累计发生额 </w:t>
      </w:r>
      <w:r>
        <w:rPr>
          <w:rFonts w:hint="eastAsia" w:ascii="Calibri" w:hAnsi="Calibri" w:eastAsia="宋体" w:cs="Times New Roman"/>
          <w:sz w:val="24"/>
          <w:szCs w:val="24"/>
        </w:rPr>
        <w:t xml:space="preserve"> </w:t>
      </w:r>
      <w:r>
        <w:rPr>
          <w:rFonts w:hint="eastAsia" w:ascii="Times New Roman" w:hAnsi="Times New Roman" w:eastAsia="宋体" w:cs="Times New Roman"/>
          <w:sz w:val="24"/>
          <w:szCs w:val="24"/>
        </w:rPr>
        <w:t>4,085,554.59元</w:t>
      </w:r>
    </w:p>
    <w:p w14:paraId="4EA367BA">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本单位自2026年1月至2026年6月执行旧《民间非营利组织会计制度》，支出总额4,890,589.77元。其中：</w:t>
      </w:r>
    </w:p>
    <w:p w14:paraId="6DCF362A">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1、业务活动成本                        累计发生额</w:t>
      </w:r>
      <w:r>
        <w:rPr>
          <w:rFonts w:hint="eastAsia" w:ascii="Calibri" w:hAnsi="Calibri" w:eastAsia="宋体" w:cs="Times New Roman"/>
          <w:sz w:val="24"/>
          <w:szCs w:val="24"/>
        </w:rPr>
        <w:t xml:space="preserve">  </w:t>
      </w:r>
      <w:r>
        <w:rPr>
          <w:rFonts w:hint="eastAsia" w:ascii="Times New Roman" w:hAnsi="Times New Roman" w:eastAsia="宋体" w:cs="Times New Roman"/>
          <w:sz w:val="24"/>
          <w:szCs w:val="24"/>
        </w:rPr>
        <w:t>3,943,003.41元</w:t>
      </w:r>
    </w:p>
    <w:p w14:paraId="415DE32B">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2、税金及附加                          累计发生额  52,636.70元</w:t>
      </w:r>
    </w:p>
    <w:p w14:paraId="49E0B07A">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3、管理费用                           </w:t>
      </w:r>
      <w:r>
        <w:rPr>
          <w:rFonts w:hint="eastAsia" w:ascii="Calibri" w:hAnsi="Calibri" w:eastAsia="宋体" w:cs="Times New Roman"/>
          <w:sz w:val="24"/>
          <w:szCs w:val="24"/>
        </w:rPr>
        <w:t xml:space="preserve"> </w:t>
      </w:r>
      <w:r>
        <w:rPr>
          <w:rFonts w:hint="eastAsia" w:ascii="Times New Roman" w:hAnsi="Times New Roman" w:eastAsia="宋体" w:cs="Times New Roman"/>
          <w:sz w:val="24"/>
          <w:szCs w:val="24"/>
        </w:rPr>
        <w:t xml:space="preserve">累计发生额 </w:t>
      </w:r>
      <w:r>
        <w:rPr>
          <w:rFonts w:hint="eastAsia" w:ascii="Calibri" w:hAnsi="Calibri" w:eastAsia="宋体" w:cs="Times New Roman"/>
          <w:sz w:val="24"/>
          <w:szCs w:val="24"/>
        </w:rPr>
        <w:t xml:space="preserve"> </w:t>
      </w:r>
      <w:r>
        <w:rPr>
          <w:rFonts w:hint="eastAsia" w:ascii="Times New Roman" w:hAnsi="Times New Roman" w:eastAsia="宋体" w:cs="Times New Roman"/>
          <w:sz w:val="24"/>
          <w:szCs w:val="24"/>
        </w:rPr>
        <w:t>789,913.55元</w:t>
      </w:r>
    </w:p>
    <w:p w14:paraId="4BDF1994">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4、其他费用                           </w:t>
      </w:r>
      <w:r>
        <w:rPr>
          <w:rFonts w:hint="eastAsia" w:ascii="Calibri" w:hAnsi="Calibri" w:eastAsia="宋体" w:cs="Times New Roman"/>
          <w:sz w:val="24"/>
          <w:szCs w:val="24"/>
        </w:rPr>
        <w:t xml:space="preserve"> </w:t>
      </w:r>
      <w:r>
        <w:rPr>
          <w:rFonts w:hint="eastAsia" w:ascii="Times New Roman" w:hAnsi="Times New Roman" w:eastAsia="宋体" w:cs="Times New Roman"/>
          <w:sz w:val="24"/>
          <w:szCs w:val="24"/>
        </w:rPr>
        <w:t xml:space="preserve">累计发生额 </w:t>
      </w:r>
      <w:r>
        <w:rPr>
          <w:rFonts w:hint="eastAsia" w:ascii="Calibri" w:hAnsi="Calibri" w:eastAsia="宋体" w:cs="Times New Roman"/>
          <w:sz w:val="24"/>
          <w:szCs w:val="24"/>
        </w:rPr>
        <w:t xml:space="preserve"> </w:t>
      </w:r>
      <w:r>
        <w:rPr>
          <w:rFonts w:hint="eastAsia" w:ascii="Times New Roman" w:hAnsi="Times New Roman" w:eastAsia="宋体" w:cs="Times New Roman"/>
          <w:sz w:val="24"/>
          <w:szCs w:val="24"/>
        </w:rPr>
        <w:t>105,036.11元</w:t>
      </w:r>
    </w:p>
    <w:p w14:paraId="4322EE15">
      <w:pPr>
        <w:snapToGrid w:val="0"/>
        <w:spacing w:line="288" w:lineRule="auto"/>
        <w:ind w:firstLine="480" w:firstLineChars="200"/>
        <w:rPr>
          <w:rFonts w:ascii="Times New Roman" w:hAnsi="Times New Roman" w:eastAsia="黑体"/>
          <w:sz w:val="36"/>
          <w:szCs w:val="36"/>
        </w:rPr>
        <w:sectPr>
          <w:pgSz w:w="11906" w:h="16838"/>
          <w:pgMar w:top="1418" w:right="1418" w:bottom="1418" w:left="1701" w:header="851" w:footer="737" w:gutter="0"/>
          <w:cols w:space="425" w:num="1"/>
          <w:docGrid w:type="linesAndChars" w:linePitch="312" w:charSpace="0"/>
        </w:sectPr>
      </w:pPr>
      <w:r>
        <w:rPr>
          <w:rFonts w:hint="eastAsia" w:ascii="Times New Roman" w:hAnsi="Times New Roman" w:eastAsia="宋体" w:cs="Times New Roman"/>
          <w:sz w:val="24"/>
          <w:szCs w:val="24"/>
        </w:rPr>
        <w:t>以上为本协会本届理事会任期财务收支、资产管理情况报告。报告数据以中维会计师事务所的换届审计报告为依据，各项收支严格执行国家财经法规、《民间非营利组织会计制度》及协会内部财务制度。现提请本次会员代表大会审议。</w:t>
      </w:r>
    </w:p>
    <w:p w14:paraId="77511E76">
      <w:pPr>
        <w:spacing w:line="480" w:lineRule="exact"/>
        <w:jc w:val="center"/>
        <w:outlineLvl w:val="0"/>
        <w:rPr>
          <w:rFonts w:ascii="Times New Roman" w:hAnsi="Times New Roman" w:eastAsia="黑体" w:cs="Times New Roman"/>
          <w:b/>
          <w:sz w:val="32"/>
          <w:szCs w:val="32"/>
        </w:rPr>
      </w:pPr>
      <w:bookmarkStart w:id="10" w:name="_Toc238562170"/>
      <w:r>
        <w:rPr>
          <w:rFonts w:hint="eastAsia" w:ascii="Times New Roman" w:hAnsi="Times New Roman" w:eastAsia="黑体" w:cs="Times New Roman"/>
          <w:sz w:val="36"/>
          <w:szCs w:val="36"/>
        </w:rPr>
        <w:t>中国腐蚀控制技术协会第八届监事会工作报告</w:t>
      </w:r>
      <w:bookmarkEnd w:id="10"/>
    </w:p>
    <w:p w14:paraId="7E0A8BB3">
      <w:pPr>
        <w:snapToGrid w:val="0"/>
        <w:spacing w:before="312" w:beforeLines="100" w:line="288" w:lineRule="auto"/>
        <w:rPr>
          <w:rFonts w:ascii="Times New Roman" w:hAnsi="Times New Roman" w:eastAsia="宋体" w:cs="Times New Roman"/>
          <w:sz w:val="24"/>
          <w:szCs w:val="24"/>
        </w:rPr>
      </w:pPr>
      <w:r>
        <w:rPr>
          <w:rFonts w:ascii="Times New Roman" w:hAnsi="Times New Roman" w:eastAsia="宋体" w:cs="Times New Roman"/>
          <w:sz w:val="24"/>
          <w:szCs w:val="24"/>
        </w:rPr>
        <w:t>各位领导，</w:t>
      </w:r>
      <w:r>
        <w:rPr>
          <w:rFonts w:hint="eastAsia" w:ascii="Times New Roman" w:hAnsi="Times New Roman" w:eastAsia="宋体" w:cs="Times New Roman"/>
          <w:sz w:val="24"/>
          <w:szCs w:val="24"/>
        </w:rPr>
        <w:t>各位代表</w:t>
      </w:r>
      <w:r>
        <w:rPr>
          <w:rFonts w:ascii="Times New Roman" w:hAnsi="Times New Roman" w:eastAsia="宋体" w:cs="Times New Roman"/>
          <w:sz w:val="24"/>
          <w:szCs w:val="24"/>
        </w:rPr>
        <w:t>：</w:t>
      </w:r>
    </w:p>
    <w:p w14:paraId="759E5586">
      <w:pPr>
        <w:snapToGrid w:val="0"/>
        <w:spacing w:line="288" w:lineRule="auto"/>
        <w:ind w:firstLine="480" w:firstLineChars="200"/>
        <w:rPr>
          <w:rFonts w:ascii="Times New Roman" w:hAnsi="Times New Roman" w:eastAsia="黑体" w:cs="Times New Roman"/>
          <w:color w:val="000000"/>
          <w:sz w:val="28"/>
          <w:szCs w:val="28"/>
        </w:rPr>
      </w:pPr>
      <w:r>
        <w:rPr>
          <w:rFonts w:hint="eastAsia" w:ascii="Times New Roman" w:hAnsi="Times New Roman" w:eastAsia="宋体" w:cs="Times New Roman"/>
          <w:sz w:val="24"/>
          <w:szCs w:val="24"/>
        </w:rPr>
        <w:t>我受中国腐蚀控制技术协会第八届监事会委托，向大会报告本届监事会自2020年8月选举产生以来的工作情况，并对下一届监事会工作提出建议。</w:t>
      </w:r>
    </w:p>
    <w:p w14:paraId="5643ED7D">
      <w:pPr>
        <w:snapToGrid w:val="0"/>
        <w:spacing w:before="120" w:line="288" w:lineRule="auto"/>
        <w:rPr>
          <w:rFonts w:ascii="Times New Roman" w:hAnsi="Times New Roman" w:eastAsia="宋体" w:cs="Times New Roman"/>
          <w:b/>
          <w:color w:val="000000"/>
          <w:sz w:val="28"/>
          <w:szCs w:val="28"/>
        </w:rPr>
      </w:pPr>
      <w:r>
        <w:rPr>
          <w:rFonts w:hint="eastAsia" w:ascii="Times New Roman" w:hAnsi="Times New Roman" w:eastAsia="黑体" w:cs="Times New Roman"/>
          <w:sz w:val="24"/>
          <w:szCs w:val="24"/>
        </w:rPr>
        <w:t>一、过去六年的工作</w:t>
      </w:r>
    </w:p>
    <w:p w14:paraId="06FABF56">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过去六年，第八届监事会严格按照《章程》赋予</w:t>
      </w:r>
      <w:bookmarkStart w:id="11" w:name="_GoBack"/>
      <w:r>
        <w:rPr>
          <w:rFonts w:hint="eastAsia" w:ascii="Times New Roman" w:hAnsi="Times New Roman" w:eastAsia="宋体" w:cs="Times New Roman"/>
          <w:sz w:val="24"/>
          <w:szCs w:val="24"/>
        </w:rPr>
        <w:t>的</w:t>
      </w:r>
      <w:bookmarkEnd w:id="11"/>
      <w:r>
        <w:rPr>
          <w:rFonts w:hint="eastAsia" w:ascii="Times New Roman" w:hAnsi="Times New Roman" w:eastAsia="宋体" w:cs="Times New Roman"/>
          <w:sz w:val="24"/>
          <w:szCs w:val="24"/>
        </w:rPr>
        <w:t>职权，恪尽职守，勤勉履职，积极、独立、审慎、有效地开展监督工作。主要工作如下：</w:t>
      </w:r>
    </w:p>
    <w:p w14:paraId="5C8B016F">
      <w:pPr>
        <w:snapToGrid w:val="0"/>
        <w:spacing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1. 坚持党建引领，筑牢监督根基</w:t>
      </w:r>
    </w:p>
    <w:p w14:paraId="5BC2EC32">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在协会党支部的全面领导下，积极参与协会党建活动。深入学习贯彻习近平新时代中国特色社会主义思想，不断坚定“两个确立”、增强“四个意识”、做到“两个维护”，以政治建设统领监督工作，切实确保监督工作方向正确。同时，推动党建与业务监督深度融合，以常态化监督保障协会各项业务合规开展、行稳致远。</w:t>
      </w:r>
    </w:p>
    <w:p w14:paraId="5FEC1114">
      <w:pPr>
        <w:snapToGrid w:val="0"/>
        <w:spacing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2.履行监督职责，规范法人治理</w:t>
      </w:r>
    </w:p>
    <w:p w14:paraId="7E582113">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列席本届期间召开的全部理事会、常务理事会会议和会员代表大会，对重大决策程序、选举投票等环节全方位监督。对理事会有关提案的审议及表决的内容和程序进行了事前、事中和事后的全过程监督，并积极发表监督意见，确保了理事会各项决议事项的程序合法、内容合规、决策合理、执行有效。</w:t>
      </w:r>
    </w:p>
    <w:p w14:paraId="15F9DCED">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常态化开展履职监督，对协会负责人、常务理事、理事、财务管理人员履职行为实施常态化监督，及时纠偏不规范履职行为。推动构建 “党支部 — 理事会 — 监事会 — 秘书处” 四方协同治理机制，厘清各机构权责边界，有效提升协会决策质效与内部监督合力。</w:t>
      </w:r>
    </w:p>
    <w:p w14:paraId="2D9D2FDD">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立足完善内部治理体系，督促修订会员管理制度、财务管理制度和人事管理制度等规章制度，补齐制度短板，健全覆盖协会运行全流程的风险防控机制，夯实协会规范化运行制度基础。</w:t>
      </w:r>
    </w:p>
    <w:p w14:paraId="0241FADE">
      <w:pPr>
        <w:snapToGrid w:val="0"/>
        <w:spacing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3. 强化财务监督，确保财务合规</w:t>
      </w:r>
    </w:p>
    <w:p w14:paraId="3841D85D">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将财务合规监督作为监事会核心工作，定期审阅年度财务报表、收支台账，严格对照《民间非营利组织会计制度》核查账务，确保“账证相符、账实相符”。加强了对协会财务的工作监督，对于财务部门做好年度预算和决算、加强项目的财务管理、加强开源节流工作等方面提出建议。</w:t>
      </w:r>
    </w:p>
    <w:p w14:paraId="511626BA">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分类实施专项财务监督：会费管理方面，重点监督票据规范和预算控制，支出合规。项目资金方面，重点监督审批流程规范性，专项支出合理性，以及与申报用途的相符性。审计工作重点放在风险提示和整改落实等方面，历次审计结果无保留意见，任期内未发生财务违规、重大诉讼或监管处罚事件。</w:t>
      </w:r>
    </w:p>
    <w:p w14:paraId="59D88E3A">
      <w:pPr>
        <w:snapToGrid w:val="0"/>
        <w:spacing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4. 推动换届工作，确保程序合规</w:t>
      </w:r>
    </w:p>
    <w:p w14:paraId="63D52D0C">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全面贯彻《全国性行业协会商会负责人任职管理办法》精神，全程监督换届选举流程，审核候选人资格、投票规则及计票过程，保障公开、公平、公正。协助制定换届方案，确保符合中国石油和化学工业联合会党委、工业和信息化部、中央社会工作部及协会章程的要求。</w:t>
      </w:r>
    </w:p>
    <w:p w14:paraId="042E075F">
      <w:pPr>
        <w:snapToGrid w:val="0"/>
        <w:spacing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5. 积极走访会员，推动解决诉求</w:t>
      </w:r>
    </w:p>
    <w:p w14:paraId="74DD6B1A">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为了更全面地了解会员单位的经营情况和实际需求，监事会成员积极走访会员单位，认真听取会员的意见和建议，努力满足会员需求，持续优化协会服务项目，不断创新服务内容。</w:t>
      </w:r>
    </w:p>
    <w:p w14:paraId="6D62A8FF">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针对走访中收集的行业普遍性困难、共性发展难题和集中性诉求，及时梳理汇总并向理事会、上级党委及业务主管单位反馈，推动诉求的解决，促进行业发展。</w:t>
      </w:r>
    </w:p>
    <w:p w14:paraId="7CFA35D8">
      <w:pPr>
        <w:snapToGrid w:val="0"/>
        <w:spacing w:line="288" w:lineRule="auto"/>
        <w:rPr>
          <w:rFonts w:ascii="Times New Roman" w:hAnsi="Times New Roman" w:eastAsia="宋体" w:cs="Times New Roman"/>
          <w:b/>
          <w:color w:val="000000"/>
          <w:sz w:val="28"/>
          <w:szCs w:val="28"/>
        </w:rPr>
      </w:pPr>
      <w:r>
        <w:rPr>
          <w:rFonts w:hint="eastAsia" w:ascii="Times New Roman" w:hAnsi="Times New Roman" w:eastAsia="黑体" w:cs="Times New Roman"/>
          <w:sz w:val="24"/>
          <w:szCs w:val="24"/>
        </w:rPr>
        <w:t>理事会六年履职总体评价</w:t>
      </w:r>
    </w:p>
    <w:p w14:paraId="25F09F60">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综合六年全过程监督情况，协会第八届监事会一致认为：本届理事会、秘书处整体运行规范有序、高效务实，能够严格遵守国家法律法规、协会《章程》及各项财务管理制度，任期内未发现重大违法违规、损害协会及会员利益的行为。</w:t>
      </w:r>
    </w:p>
    <w:p w14:paraId="1B1EDBC0">
      <w:pPr>
        <w:snapToGrid w:val="0"/>
        <w:spacing w:before="120" w:line="288" w:lineRule="auto"/>
        <w:rPr>
          <w:rFonts w:ascii="Times New Roman" w:hAnsi="Times New Roman" w:eastAsia="宋体" w:cs="Times New Roman"/>
          <w:b/>
          <w:color w:val="000000"/>
          <w:sz w:val="28"/>
          <w:szCs w:val="28"/>
        </w:rPr>
      </w:pPr>
      <w:r>
        <w:rPr>
          <w:rFonts w:hint="eastAsia" w:ascii="Times New Roman" w:hAnsi="Times New Roman" w:eastAsia="黑体" w:cs="Times New Roman"/>
          <w:sz w:val="24"/>
          <w:szCs w:val="24"/>
        </w:rPr>
        <w:t>二、存在的问题与不足</w:t>
      </w:r>
    </w:p>
    <w:p w14:paraId="09E11F3B">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因第八届监事会人员规模有限、部分成员专业能力不足且履职精力分散，监督工作尚存短板，主要问题有：</w:t>
      </w:r>
    </w:p>
    <w:p w14:paraId="1C77E30B">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1. 监督深度和覆盖广度有待拓展：对一些专业性较强的业务领域（如特定项目评估等）的监督，专项化、精细化监督力度欠缺。 </w:t>
      </w:r>
    </w:p>
    <w:p w14:paraId="3E4DD0D9">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2. 监督手段的现代化水平有待提升：在利用信息化手段进行动态、实时监督方面探索不够。 </w:t>
      </w:r>
    </w:p>
    <w:p w14:paraId="4A51E2FB">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3. 与会员的互动交流可以更深入：主动收集、听取会员意见的渠道和方式还可以更加多元化、常态化。</w:t>
      </w:r>
    </w:p>
    <w:p w14:paraId="427DA255">
      <w:pPr>
        <w:snapToGrid w:val="0"/>
        <w:spacing w:before="120" w:line="288" w:lineRule="auto"/>
        <w:rPr>
          <w:rFonts w:ascii="Times New Roman" w:hAnsi="Times New Roman" w:eastAsia="宋体" w:cs="Times New Roman"/>
          <w:b/>
          <w:color w:val="000000"/>
          <w:sz w:val="28"/>
          <w:szCs w:val="28"/>
        </w:rPr>
      </w:pPr>
      <w:r>
        <w:rPr>
          <w:rFonts w:hint="eastAsia" w:ascii="Times New Roman" w:hAnsi="Times New Roman" w:eastAsia="黑体" w:cs="Times New Roman"/>
          <w:sz w:val="24"/>
          <w:szCs w:val="24"/>
        </w:rPr>
        <w:t>三 、对新一届监事会工作的建议</w:t>
      </w:r>
    </w:p>
    <w:p w14:paraId="68C966FA">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未来五年是落实在</w:t>
      </w:r>
      <w:r>
        <w:rPr>
          <w:rFonts w:ascii="Times New Roman" w:hAnsi="Times New Roman" w:eastAsia="宋体" w:cs="Times New Roman"/>
          <w:sz w:val="24"/>
          <w:szCs w:val="24"/>
        </w:rPr>
        <w:t>2035</w:t>
      </w:r>
      <w:r>
        <w:rPr>
          <w:rFonts w:hint="eastAsia" w:ascii="Times New Roman" w:hAnsi="Times New Roman" w:eastAsia="宋体" w:cs="Times New Roman"/>
          <w:sz w:val="24"/>
          <w:szCs w:val="24"/>
        </w:rPr>
        <w:t>年基本实现社会主义现代化的关键五年，希望新一届监事会</w:t>
      </w:r>
      <w:r>
        <w:rPr>
          <w:rFonts w:ascii="Times New Roman" w:hAnsi="Times New Roman" w:eastAsia="宋体" w:cs="Times New Roman"/>
          <w:sz w:val="24"/>
          <w:szCs w:val="24"/>
        </w:rPr>
        <w:t>‌</w:t>
      </w:r>
      <w:r>
        <w:rPr>
          <w:rFonts w:hint="eastAsia" w:ascii="Times New Roman" w:hAnsi="Times New Roman" w:eastAsia="宋体" w:cs="Times New Roman"/>
          <w:sz w:val="24"/>
          <w:szCs w:val="24"/>
        </w:rPr>
        <w:t>以“监督与服务并重”为核心，充分发挥监事会规范治理、防范风险、凝聚会员的职能作用，圆满完成章程赋予的职责。重点做好五方面工作：</w:t>
      </w:r>
    </w:p>
    <w:p w14:paraId="11806555">
      <w:pPr>
        <w:snapToGrid w:val="0"/>
        <w:spacing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1. 加强内部监督</w:t>
      </w:r>
    </w:p>
    <w:p w14:paraId="05BC1F8F">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监事会应继续列席协会理事会、常务理事会等重大会议，对协会重大决策的程序和内容以及财务合规性进行全面监督。同时，加强对协会日常运行情况的了解，确保各项工作合法、合规、有效、合理开展。</w:t>
      </w:r>
    </w:p>
    <w:p w14:paraId="1D1374D6">
      <w:pPr>
        <w:snapToGrid w:val="0"/>
        <w:spacing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2. 强化能力建设</w:t>
      </w:r>
    </w:p>
    <w:p w14:paraId="0E75FEF3">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组织监事参加《社会团体登记管理条例》、《中共中央办公厅、国务院办公厅关于推动行业协会商会深化改革的意见》等法规政策的培训学习，提升专业水平；建立跨行业协会监事会交流机制，借鉴先进经验。</w:t>
      </w:r>
    </w:p>
    <w:p w14:paraId="5FC27582">
      <w:pPr>
        <w:snapToGrid w:val="0"/>
        <w:spacing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3. 提升服务质量</w:t>
      </w:r>
    </w:p>
    <w:p w14:paraId="4222F623">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以更认真、更积极的态度主动深入会员单位，了解会员单位经营的痛点，总结行业发展的堵点，梳理行业高质量发展中的壁垒，协调各方资源，帮助会员单位和行业破解发展难题，实现高质量发展。</w:t>
      </w:r>
    </w:p>
    <w:p w14:paraId="5249647F">
      <w:pPr>
        <w:snapToGrid w:val="0"/>
        <w:spacing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4. 创新工作方式</w:t>
      </w:r>
    </w:p>
    <w:p w14:paraId="64A1366C">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加强对大数据和人工智能等科技手段的运用，创新监督工作相关信息搜索、收集、处理和分析的手段，提升监督工作的效率和时效。</w:t>
      </w:r>
    </w:p>
    <w:p w14:paraId="17B1C8B8">
      <w:pPr>
        <w:snapToGrid w:val="0"/>
        <w:spacing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5. 推动协会发展</w:t>
      </w:r>
    </w:p>
    <w:p w14:paraId="1A6DFB82">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监事会在监督过程中应继续为协会发展建言献策，提出合理化建议和意见，推动协会在运行管理和业务开展等方面的进步和发展。</w:t>
      </w:r>
    </w:p>
    <w:p w14:paraId="45822E4D">
      <w:pPr>
        <w:snapToGrid w:val="0"/>
        <w:spacing w:line="288" w:lineRule="auto"/>
        <w:ind w:firstLine="480" w:firstLineChars="200"/>
      </w:pPr>
      <w:r>
        <w:rPr>
          <w:rFonts w:hint="eastAsia" w:ascii="Times New Roman" w:hAnsi="Times New Roman" w:eastAsia="宋体" w:cs="Times New Roman"/>
          <w:sz w:val="24"/>
          <w:szCs w:val="24"/>
        </w:rPr>
        <w:t>各位代表，我们坚信，中国腐蚀控制技术协会第九届监事会能够通过求真务实、严谨细致的工作，不断破解履职难题，创新高效的推动协会和行业高质量发展，为实现中国式现代化贡献</w:t>
      </w:r>
      <w:r>
        <w:rPr>
          <w:rFonts w:hint="eastAsia" w:ascii="Times New Roman" w:hAnsi="Times New Roman" w:eastAsia="宋体" w:cs="Times New Roman"/>
          <w:sz w:val="24"/>
          <w:szCs w:val="24"/>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6631FE"/>
    <w:rsid w:val="096631FE"/>
    <w:rsid w:val="34A65A8F"/>
    <w:rsid w:val="47060A73"/>
    <w:rsid w:val="733B0B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10245</Words>
  <Characters>11031</Characters>
  <Lines>0</Lines>
  <Paragraphs>0</Paragraphs>
  <TotalTime>3</TotalTime>
  <ScaleCrop>false</ScaleCrop>
  <LinksUpToDate>false</LinksUpToDate>
  <CharactersWithSpaces>12381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2026-09-14T00:41:00Z</dcterms:created>
  <dc:creator>颖川</dc:creator>
  <cp:lastModifiedBy>颖川</cp:lastModifiedBy>
  <dcterms:modified xsi:type="dcterms:W3CDTF">2026-09-16T06:02:28Z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5DF1151EF5D840C293B4E05DBFBA031A_11</vt:lpwstr>
  </property>
  <property fmtid="{D5CDD505-2E9C-101B-9397-08002B2CF9AE}" pid="4" name="KSOTemplateDocerSaveRecord">
    <vt:lpwstr>eyJoZGlkIjoiYTNkZmQwNTMxYWYyMGU1NDhkZDRmNWU0ZDk4NGU0OGUiLCJ1c2VySWQiOiI3MTM4MTE2MDcifQ==</vt:lpwstr>
  </property>
</Properties>
</file>